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06" w:rsidRDefault="001B0306" w:rsidP="00D57B36">
      <w:pPr>
        <w:spacing w:line="240" w:lineRule="auto"/>
        <w:jc w:val="center"/>
        <w:rPr>
          <w:b/>
          <w:sz w:val="28"/>
          <w:szCs w:val="28"/>
        </w:rPr>
      </w:pPr>
      <w:r w:rsidRPr="001B0306">
        <w:rPr>
          <w:b/>
          <w:sz w:val="28"/>
          <w:szCs w:val="28"/>
        </w:rPr>
        <w:t>TEHNIČKA SPECIFIKACIJA PREDMETA NABAVE</w:t>
      </w:r>
    </w:p>
    <w:p w:rsidR="00AB0CEA" w:rsidRDefault="00AB0CEA" w:rsidP="00D57B36">
      <w:pPr>
        <w:spacing w:after="0" w:line="240" w:lineRule="auto"/>
      </w:pPr>
    </w:p>
    <w:p w:rsidR="00D57B36" w:rsidRDefault="00D57B36" w:rsidP="00D57B36">
      <w:pPr>
        <w:spacing w:after="0" w:line="240" w:lineRule="auto"/>
      </w:pPr>
    </w:p>
    <w:p w:rsidR="00AB0CEA" w:rsidRPr="00823C0C" w:rsidRDefault="00AB0CEA" w:rsidP="00D57B36">
      <w:pPr>
        <w:shd w:val="clear" w:color="auto" w:fill="D9D9D9" w:themeFill="background1" w:themeFillShade="D9"/>
        <w:spacing w:after="0" w:line="240" w:lineRule="auto"/>
        <w:rPr>
          <w:b/>
        </w:rPr>
      </w:pPr>
      <w:r>
        <w:rPr>
          <w:b/>
        </w:rPr>
        <w:t>OPĆE ODREDBE TEHNIČKE DOKUMENTACIJE</w:t>
      </w:r>
    </w:p>
    <w:p w:rsidR="00AB0CEA" w:rsidRDefault="00AB0CEA" w:rsidP="00D57B36">
      <w:pPr>
        <w:spacing w:after="0" w:line="240" w:lineRule="auto"/>
        <w:contextualSpacing/>
        <w:jc w:val="both"/>
      </w:pPr>
    </w:p>
    <w:p w:rsidR="00AB0CEA" w:rsidRPr="00F06714" w:rsidRDefault="00AB0CEA" w:rsidP="00D57B36">
      <w:pPr>
        <w:spacing w:line="240" w:lineRule="auto"/>
        <w:jc w:val="both"/>
        <w:rPr>
          <w:rFonts w:cstheme="minorHAnsi"/>
        </w:rPr>
      </w:pPr>
      <w:r>
        <w:rPr>
          <w:rFonts w:cstheme="minorHAnsi"/>
        </w:rPr>
        <w:t xml:space="preserve">Uz uvjete definirane </w:t>
      </w:r>
      <w:r w:rsidRPr="00145C49">
        <w:rPr>
          <w:rFonts w:cstheme="minorHAnsi"/>
        </w:rPr>
        <w:t xml:space="preserve">ovom dokumentacijom </w:t>
      </w:r>
      <w:proofErr w:type="spellStart"/>
      <w:r>
        <w:rPr>
          <w:rFonts w:cstheme="minorHAnsi"/>
        </w:rPr>
        <w:t>podredno</w:t>
      </w:r>
      <w:proofErr w:type="spellEnd"/>
      <w:r>
        <w:rPr>
          <w:rFonts w:cstheme="minorHAnsi"/>
        </w:rPr>
        <w:t xml:space="preserve"> će se primjenjivati</w:t>
      </w:r>
      <w:r w:rsidRPr="00145C49">
        <w:rPr>
          <w:rFonts w:cstheme="minorHAnsi"/>
        </w:rPr>
        <w:t xml:space="preserve"> opći, posebni i dopunski uvjeti i klauzule osiguranja Ponuditelja</w:t>
      </w:r>
      <w:r>
        <w:rPr>
          <w:rFonts w:cstheme="minorHAnsi"/>
        </w:rPr>
        <w:t>,</w:t>
      </w:r>
      <w:r w:rsidRPr="00145C49">
        <w:rPr>
          <w:rFonts w:cstheme="minorHAnsi"/>
        </w:rPr>
        <w:t xml:space="preserve"> bez naknadnih korekcija pokrića, odnosno isključenja koja bi išla na štetu Naručitelj</w:t>
      </w:r>
      <w:r>
        <w:rPr>
          <w:rFonts w:cstheme="minorHAnsi"/>
        </w:rPr>
        <w:t xml:space="preserve">a. Neće se primjenjivati one odredbe  općih, posebnih i dopunskih uvjeta </w:t>
      </w:r>
      <w:r w:rsidRPr="00145C49">
        <w:rPr>
          <w:rFonts w:cstheme="minorHAnsi"/>
        </w:rPr>
        <w:t xml:space="preserve">te klauzula </w:t>
      </w:r>
      <w:r>
        <w:rPr>
          <w:rFonts w:cstheme="minorHAnsi"/>
        </w:rPr>
        <w:t xml:space="preserve">osiguranja Ponuditelja koje su u suprotnosti s </w:t>
      </w:r>
      <w:r w:rsidRPr="00145C49">
        <w:rPr>
          <w:rFonts w:cstheme="minorHAnsi"/>
        </w:rPr>
        <w:t xml:space="preserve">odredbama ove dokumentacije. Ukoliko su bilo koje odredbe općih, posebnih i dopunskih uvjeta te klauzula </w:t>
      </w:r>
      <w:r>
        <w:rPr>
          <w:rFonts w:cstheme="minorHAnsi"/>
        </w:rPr>
        <w:t xml:space="preserve">osiguranja </w:t>
      </w:r>
      <w:r w:rsidRPr="00145C49">
        <w:rPr>
          <w:rFonts w:cstheme="minorHAnsi"/>
        </w:rPr>
        <w:t xml:space="preserve">Ponuditelja povoljnije od </w:t>
      </w:r>
      <w:r>
        <w:rPr>
          <w:rFonts w:cstheme="minorHAnsi"/>
        </w:rPr>
        <w:t xml:space="preserve">odredaba </w:t>
      </w:r>
      <w:r w:rsidRPr="00145C49">
        <w:rPr>
          <w:rFonts w:cstheme="minorHAnsi"/>
        </w:rPr>
        <w:t xml:space="preserve">navedenih u ovoj dokumentaciji, primjenjuju se one </w:t>
      </w:r>
      <w:r>
        <w:rPr>
          <w:rFonts w:cstheme="minorHAnsi"/>
        </w:rPr>
        <w:t xml:space="preserve">odredbe koje su </w:t>
      </w:r>
      <w:r w:rsidRPr="00145C49">
        <w:rPr>
          <w:rFonts w:cstheme="minorHAnsi"/>
        </w:rPr>
        <w:t xml:space="preserve">povoljnije za Naručitelja. U sklopu ponude koju dostavlja, </w:t>
      </w:r>
      <w:r>
        <w:rPr>
          <w:rFonts w:cstheme="minorHAnsi"/>
        </w:rPr>
        <w:t>Ponuditelj</w:t>
      </w:r>
      <w:r w:rsidRPr="00145C49">
        <w:rPr>
          <w:rFonts w:cstheme="minorHAnsi"/>
        </w:rPr>
        <w:t xml:space="preserve"> ć</w:t>
      </w:r>
      <w:r>
        <w:rPr>
          <w:rFonts w:cstheme="minorHAnsi"/>
        </w:rPr>
        <w:t xml:space="preserve">e dostaviti sve opće, posebne i </w:t>
      </w:r>
      <w:r w:rsidRPr="00145C49">
        <w:rPr>
          <w:rFonts w:cstheme="minorHAnsi"/>
        </w:rPr>
        <w:t>dopunske  uvjete te klauzule osiguranja.</w:t>
      </w:r>
    </w:p>
    <w:p w:rsidR="00AB0CEA" w:rsidRDefault="00AB0CEA" w:rsidP="00D57B36">
      <w:pPr>
        <w:spacing w:after="0" w:line="240" w:lineRule="auto"/>
        <w:contextualSpacing/>
        <w:jc w:val="both"/>
      </w:pPr>
      <w:r w:rsidRPr="00D17326">
        <w:rPr>
          <w:b/>
        </w:rPr>
        <w:t xml:space="preserve">Početak i prestanak </w:t>
      </w:r>
      <w:proofErr w:type="spellStart"/>
      <w:r w:rsidRPr="00D17326">
        <w:rPr>
          <w:b/>
        </w:rPr>
        <w:t>osigurateljnog</w:t>
      </w:r>
      <w:proofErr w:type="spellEnd"/>
      <w:r w:rsidRPr="00D17326">
        <w:rPr>
          <w:b/>
        </w:rPr>
        <w:t xml:space="preserve"> pokrića</w:t>
      </w:r>
      <w:r>
        <w:rPr>
          <w:b/>
        </w:rPr>
        <w:t>:</w:t>
      </w:r>
      <w:r w:rsidRPr="00D17326">
        <w:rPr>
          <w:b/>
        </w:rPr>
        <w:t xml:space="preserve"> </w:t>
      </w:r>
      <w:r>
        <w:t>o</w:t>
      </w:r>
      <w:r w:rsidRPr="00750464">
        <w:t>siguranje  poč</w:t>
      </w:r>
      <w:r>
        <w:t xml:space="preserve">inje  </w:t>
      </w:r>
      <w:r w:rsidRPr="00D90366">
        <w:t xml:space="preserve">u  </w:t>
      </w:r>
      <w:r w:rsidR="006770BA" w:rsidRPr="00D90366">
        <w:t>00:</w:t>
      </w:r>
      <w:r w:rsidRPr="00D90366">
        <w:t>00  sata</w:t>
      </w:r>
      <w:r w:rsidRPr="00750464">
        <w:t xml:space="preserve">  onog  dana  koji  je  označen  u  polici  kao  početak  osi</w:t>
      </w:r>
      <w:r w:rsidR="006770BA">
        <w:t>guranja  i prestaje u 24:</w:t>
      </w:r>
      <w:r>
        <w:t>00 sata</w:t>
      </w:r>
      <w:r w:rsidRPr="00750464">
        <w:t xml:space="preserve"> onog dana koji je u polici označen kao dan prestanka osiguranja te uključuje 24 satno pokriće za vrijeme trajanja osiguranja.</w:t>
      </w:r>
    </w:p>
    <w:p w:rsidR="00E363D9" w:rsidRDefault="00E363D9" w:rsidP="00D57B36">
      <w:pPr>
        <w:spacing w:after="0" w:line="240" w:lineRule="auto"/>
        <w:contextualSpacing/>
        <w:jc w:val="both"/>
      </w:pPr>
    </w:p>
    <w:p w:rsidR="00E363D9" w:rsidRPr="00D90366" w:rsidRDefault="00E363D9" w:rsidP="00E363D9">
      <w:pPr>
        <w:spacing w:after="0" w:line="240" w:lineRule="auto"/>
        <w:contextualSpacing/>
        <w:jc w:val="both"/>
        <w:rPr>
          <w:rFonts w:cstheme="minorHAnsi"/>
          <w:b/>
        </w:rPr>
      </w:pPr>
      <w:r w:rsidRPr="00D90366">
        <w:rPr>
          <w:rFonts w:cstheme="minorHAnsi"/>
          <w:b/>
        </w:rPr>
        <w:t xml:space="preserve">Način i rok plaćanja računa: </w:t>
      </w:r>
      <w:r w:rsidRPr="00D90366">
        <w:rPr>
          <w:rFonts w:cstheme="minorHAnsi"/>
        </w:rPr>
        <w:t>15 dana od dana primitka računa za predmetne usluge na IBAN ponuditelja.</w:t>
      </w:r>
    </w:p>
    <w:p w:rsidR="00E363D9" w:rsidRPr="00D90366" w:rsidRDefault="00E363D9" w:rsidP="00E363D9">
      <w:pPr>
        <w:spacing w:after="0" w:line="240" w:lineRule="auto"/>
        <w:contextualSpacing/>
        <w:jc w:val="both"/>
        <w:rPr>
          <w:rFonts w:cstheme="minorHAnsi"/>
          <w:b/>
        </w:rPr>
      </w:pPr>
    </w:p>
    <w:p w:rsidR="00583472" w:rsidRPr="00D57B36" w:rsidRDefault="00583472" w:rsidP="00D57B36">
      <w:pPr>
        <w:spacing w:after="0" w:line="240" w:lineRule="auto"/>
        <w:contextualSpacing/>
        <w:jc w:val="both"/>
        <w:rPr>
          <w:rFonts w:cstheme="minorHAnsi"/>
        </w:rPr>
      </w:pPr>
      <w:bookmarkStart w:id="0" w:name="_GoBack"/>
      <w:bookmarkEnd w:id="0"/>
      <w:r w:rsidRPr="00D57B36">
        <w:rPr>
          <w:rFonts w:cstheme="minorHAnsi"/>
          <w:b/>
        </w:rPr>
        <w:t xml:space="preserve">Evidencija šteta: </w:t>
      </w:r>
      <w:r w:rsidRPr="00D57B36">
        <w:rPr>
          <w:rFonts w:cstheme="minorHAnsi"/>
        </w:rPr>
        <w:t xml:space="preserve">Ponuditelj je obvezan najmanje kvartalno izvještavati korisnike o štetama s elementima koje će dogovoriti s korisnicima, a najmanje: broj police, vrsta osiguranja, rizik osiguranja, datum nastanka štete, datum prijave štete, datum likvidacije štete, iznos likvidirane štete, datum isplate štete, iznos isplaćene štete, iznos rezervirane štete, uzrok štete, štetnik, </w:t>
      </w:r>
      <w:proofErr w:type="spellStart"/>
      <w:r w:rsidRPr="00D57B36">
        <w:rPr>
          <w:rFonts w:cstheme="minorHAnsi"/>
        </w:rPr>
        <w:t>oštećenik</w:t>
      </w:r>
      <w:proofErr w:type="spellEnd"/>
      <w:r w:rsidRPr="00D57B36">
        <w:rPr>
          <w:rFonts w:cstheme="minorHAnsi"/>
        </w:rPr>
        <w:t xml:space="preserve"> (naziv / ime i prezime, OIB), regres (da/ne). </w:t>
      </w:r>
    </w:p>
    <w:p w:rsidR="00583472" w:rsidRPr="00D57B36" w:rsidRDefault="00583472" w:rsidP="00D57B36">
      <w:pPr>
        <w:spacing w:after="0" w:line="240" w:lineRule="auto"/>
        <w:contextualSpacing/>
        <w:jc w:val="both"/>
        <w:rPr>
          <w:rFonts w:cstheme="minorHAnsi"/>
        </w:rPr>
      </w:pPr>
      <w:r w:rsidRPr="00D57B36">
        <w:rPr>
          <w:rFonts w:cstheme="minorHAnsi"/>
        </w:rPr>
        <w:t xml:space="preserve">Ponuditelj  ne  može  uvjetovati  isplatu  naknade  za  osigurani  slučaj  dostavom originalnih dokumenata </w:t>
      </w:r>
      <w:r w:rsidRPr="00D57B36">
        <w:rPr>
          <w:rFonts w:cstheme="minorHAnsi"/>
          <w:color w:val="FF0000"/>
        </w:rPr>
        <w:t xml:space="preserve"> </w:t>
      </w:r>
      <w:r w:rsidRPr="00D57B36">
        <w:rPr>
          <w:rFonts w:cstheme="minorHAnsi"/>
        </w:rPr>
        <w:t xml:space="preserve">jer su iste vlasništvo osiguranika, a ne Naručitelja, nego će mu biti dostatni preslici takvih isprava ovjereni od strane Naručitelja. </w:t>
      </w:r>
    </w:p>
    <w:p w:rsidR="00583472" w:rsidRPr="00D57B36" w:rsidRDefault="00583472" w:rsidP="00D57B36">
      <w:pPr>
        <w:spacing w:after="0" w:line="240" w:lineRule="auto"/>
        <w:contextualSpacing/>
        <w:jc w:val="both"/>
        <w:rPr>
          <w:rFonts w:cstheme="minorHAnsi"/>
        </w:rPr>
      </w:pPr>
    </w:p>
    <w:p w:rsidR="00E60AE9" w:rsidRPr="00D57B36" w:rsidRDefault="00E60AE9" w:rsidP="00D57B36">
      <w:pPr>
        <w:spacing w:after="0" w:line="240" w:lineRule="auto"/>
        <w:contextualSpacing/>
        <w:jc w:val="both"/>
        <w:rPr>
          <w:rFonts w:cstheme="minorHAnsi"/>
        </w:rPr>
      </w:pPr>
      <w:r w:rsidRPr="00D57B36">
        <w:rPr>
          <w:rFonts w:cstheme="minorHAnsi"/>
          <w:b/>
        </w:rPr>
        <w:t>Predmet nabave je:</w:t>
      </w:r>
    </w:p>
    <w:p w:rsidR="00583472" w:rsidRPr="00D57B36" w:rsidRDefault="00E60AE9" w:rsidP="00D57B36">
      <w:pPr>
        <w:numPr>
          <w:ilvl w:val="0"/>
          <w:numId w:val="10"/>
        </w:numPr>
        <w:spacing w:line="240" w:lineRule="auto"/>
        <w:contextualSpacing/>
        <w:rPr>
          <w:rFonts w:cstheme="minorHAnsi"/>
        </w:rPr>
      </w:pPr>
      <w:r w:rsidRPr="00D57B36">
        <w:rPr>
          <w:rFonts w:cstheme="minorHAnsi"/>
        </w:rPr>
        <w:t xml:space="preserve">Usluga osiguranja </w:t>
      </w:r>
      <w:r w:rsidR="003728F5" w:rsidRPr="00D57B36">
        <w:rPr>
          <w:rFonts w:cstheme="minorHAnsi"/>
        </w:rPr>
        <w:t>imovine</w:t>
      </w:r>
      <w:r w:rsidR="009654B5" w:rsidRPr="00D57B36">
        <w:rPr>
          <w:rFonts w:cstheme="minorHAnsi"/>
        </w:rPr>
        <w:t xml:space="preserve"> </w:t>
      </w:r>
      <w:r w:rsidR="00664E7E" w:rsidRPr="00D57B36">
        <w:rPr>
          <w:rFonts w:cstheme="minorHAnsi"/>
        </w:rPr>
        <w:t>HAKOM-a</w:t>
      </w:r>
    </w:p>
    <w:p w:rsidR="00583472" w:rsidRPr="00D57B36" w:rsidRDefault="00583472" w:rsidP="00D57B36">
      <w:pPr>
        <w:numPr>
          <w:ilvl w:val="0"/>
          <w:numId w:val="10"/>
        </w:numPr>
        <w:spacing w:line="240" w:lineRule="auto"/>
        <w:contextualSpacing/>
        <w:rPr>
          <w:rFonts w:cstheme="minorHAnsi"/>
        </w:rPr>
      </w:pPr>
      <w:r w:rsidRPr="00D57B36">
        <w:rPr>
          <w:rFonts w:cstheme="minorHAnsi"/>
        </w:rPr>
        <w:t>Pod osiguranom imovinom podrazumijeva se sva imovina kako je navedena u Privitku</w:t>
      </w:r>
      <w:r w:rsidR="00336F50">
        <w:rPr>
          <w:rFonts w:cstheme="minorHAnsi"/>
        </w:rPr>
        <w:t xml:space="preserve"> 1</w:t>
      </w:r>
      <w:r w:rsidRPr="00D57B36">
        <w:rPr>
          <w:rFonts w:cstheme="minorHAnsi"/>
        </w:rPr>
        <w:t xml:space="preserve">.  </w:t>
      </w:r>
    </w:p>
    <w:p w:rsidR="00E60AE9" w:rsidRPr="00D57B36" w:rsidRDefault="00E60AE9" w:rsidP="00D57B36">
      <w:pPr>
        <w:numPr>
          <w:ilvl w:val="0"/>
          <w:numId w:val="10"/>
        </w:numPr>
        <w:spacing w:line="240" w:lineRule="auto"/>
        <w:contextualSpacing/>
        <w:rPr>
          <w:rFonts w:cstheme="minorHAnsi"/>
        </w:rPr>
      </w:pPr>
      <w:r w:rsidRPr="00D57B36">
        <w:rPr>
          <w:rFonts w:cstheme="minorHAnsi"/>
        </w:rPr>
        <w:t xml:space="preserve">Bez franšize i </w:t>
      </w:r>
      <w:proofErr w:type="spellStart"/>
      <w:r w:rsidRPr="00D57B36">
        <w:rPr>
          <w:rFonts w:cstheme="minorHAnsi"/>
        </w:rPr>
        <w:t>samopridržaja</w:t>
      </w:r>
      <w:proofErr w:type="spellEnd"/>
    </w:p>
    <w:p w:rsidR="00E60AE9" w:rsidRPr="00D57B36" w:rsidRDefault="00E60AE9" w:rsidP="00D57B36">
      <w:pPr>
        <w:numPr>
          <w:ilvl w:val="0"/>
          <w:numId w:val="10"/>
        </w:numPr>
        <w:spacing w:line="240" w:lineRule="auto"/>
        <w:contextualSpacing/>
        <w:rPr>
          <w:rFonts w:cstheme="minorHAnsi"/>
        </w:rPr>
      </w:pPr>
      <w:r w:rsidRPr="00D57B36">
        <w:rPr>
          <w:rFonts w:cstheme="minorHAnsi"/>
        </w:rPr>
        <w:t xml:space="preserve">Bez </w:t>
      </w:r>
      <w:proofErr w:type="spellStart"/>
      <w:r w:rsidRPr="00D57B36">
        <w:rPr>
          <w:rFonts w:cstheme="minorHAnsi"/>
        </w:rPr>
        <w:t>podlimita</w:t>
      </w:r>
      <w:proofErr w:type="spellEnd"/>
      <w:r w:rsidRPr="00D57B36">
        <w:rPr>
          <w:rFonts w:cstheme="minorHAnsi"/>
        </w:rPr>
        <w:t xml:space="preserve"> osim onih koje je ovdje naveo Naručitelj</w:t>
      </w:r>
    </w:p>
    <w:p w:rsidR="009C5F64" w:rsidRPr="00D57B36" w:rsidRDefault="009C5F64" w:rsidP="00D57B36">
      <w:pPr>
        <w:numPr>
          <w:ilvl w:val="0"/>
          <w:numId w:val="10"/>
        </w:numPr>
        <w:spacing w:line="240" w:lineRule="auto"/>
        <w:contextualSpacing/>
        <w:rPr>
          <w:rFonts w:cstheme="minorHAnsi"/>
        </w:rPr>
      </w:pPr>
      <w:r w:rsidRPr="00D57B36">
        <w:rPr>
          <w:rFonts w:cstheme="minorHAnsi"/>
        </w:rPr>
        <w:t xml:space="preserve">Teritorijalno pokriće je </w:t>
      </w:r>
      <w:r w:rsidR="0065051F" w:rsidRPr="00D57B36">
        <w:rPr>
          <w:rFonts w:cstheme="minorHAnsi"/>
        </w:rPr>
        <w:t xml:space="preserve">RH </w:t>
      </w:r>
      <w:r w:rsidR="003728F5" w:rsidRPr="00D57B36">
        <w:rPr>
          <w:rFonts w:cstheme="minorHAnsi"/>
        </w:rPr>
        <w:t xml:space="preserve">i </w:t>
      </w:r>
      <w:r w:rsidR="009A7A78" w:rsidRPr="00D57B36">
        <w:rPr>
          <w:rFonts w:cstheme="minorHAnsi"/>
        </w:rPr>
        <w:t>Europa</w:t>
      </w:r>
    </w:p>
    <w:p w:rsidR="00E61004" w:rsidRDefault="00E61004" w:rsidP="00D57B36">
      <w:pPr>
        <w:spacing w:after="0" w:line="240" w:lineRule="auto"/>
        <w:contextualSpacing/>
        <w:jc w:val="both"/>
        <w:rPr>
          <w:rFonts w:cstheme="minorHAnsi"/>
        </w:rPr>
      </w:pPr>
    </w:p>
    <w:p w:rsidR="005C1821" w:rsidRDefault="005C1821" w:rsidP="00D57B36">
      <w:pPr>
        <w:spacing w:after="0" w:line="240" w:lineRule="auto"/>
        <w:contextualSpacing/>
        <w:jc w:val="both"/>
        <w:rPr>
          <w:rFonts w:cstheme="minorHAnsi"/>
        </w:rPr>
        <w:sectPr w:rsidR="005C1821" w:rsidSect="00977742">
          <w:headerReference w:type="default" r:id="rId11"/>
          <w:footerReference w:type="default" r:id="rId12"/>
          <w:type w:val="continuous"/>
          <w:pgSz w:w="11906" w:h="16838"/>
          <w:pgMar w:top="1417" w:right="1417" w:bottom="1417" w:left="1417" w:header="708" w:footer="708" w:gutter="0"/>
          <w:cols w:space="708"/>
          <w:docGrid w:linePitch="360"/>
        </w:sectPr>
      </w:pPr>
    </w:p>
    <w:p w:rsidR="00D57B36" w:rsidRPr="00D57B36" w:rsidRDefault="00D57B36" w:rsidP="00D57B36">
      <w:pPr>
        <w:spacing w:after="0" w:line="240" w:lineRule="auto"/>
        <w:contextualSpacing/>
        <w:jc w:val="both"/>
        <w:rPr>
          <w:rFonts w:cstheme="minorHAnsi"/>
        </w:rPr>
      </w:pPr>
    </w:p>
    <w:p w:rsidR="00D57B36" w:rsidRDefault="00664E7E" w:rsidP="00D57B36">
      <w:pPr>
        <w:pStyle w:val="StandardWeb"/>
        <w:tabs>
          <w:tab w:val="left" w:pos="540"/>
          <w:tab w:val="left" w:pos="3600"/>
          <w:tab w:val="right" w:leader="underscore" w:pos="6804"/>
        </w:tabs>
        <w:spacing w:before="0" w:beforeAutospacing="0" w:after="0" w:afterAutospacing="0"/>
        <w:rPr>
          <w:rFonts w:asciiTheme="minorHAnsi" w:hAnsiTheme="minorHAnsi" w:cstheme="minorHAnsi"/>
          <w:b/>
          <w:bCs/>
          <w:color w:val="000000"/>
          <w:sz w:val="22"/>
          <w:szCs w:val="22"/>
        </w:rPr>
      </w:pPr>
      <w:r w:rsidRPr="00D57B36">
        <w:rPr>
          <w:rFonts w:asciiTheme="minorHAnsi" w:hAnsiTheme="minorHAnsi" w:cstheme="minorHAnsi"/>
          <w:b/>
          <w:bCs/>
          <w:color w:val="000000"/>
          <w:sz w:val="22"/>
          <w:szCs w:val="22"/>
        </w:rPr>
        <w:t>OSIGURANJE IMOVINE</w:t>
      </w:r>
    </w:p>
    <w:p w:rsidR="00664E7E" w:rsidRPr="00D57B36" w:rsidRDefault="00664E7E" w:rsidP="00D57B36">
      <w:pPr>
        <w:pStyle w:val="StandardWeb"/>
        <w:tabs>
          <w:tab w:val="left" w:pos="540"/>
          <w:tab w:val="left" w:pos="3600"/>
          <w:tab w:val="right" w:leader="underscore" w:pos="6804"/>
        </w:tabs>
        <w:spacing w:before="0" w:beforeAutospacing="0" w:after="0" w:afterAutospacing="0"/>
        <w:rPr>
          <w:rFonts w:asciiTheme="minorHAnsi" w:hAnsiTheme="minorHAnsi" w:cstheme="minorHAnsi"/>
          <w:color w:val="0070C0"/>
          <w:sz w:val="22"/>
          <w:szCs w:val="22"/>
        </w:rPr>
      </w:pPr>
      <w:r w:rsidRPr="00D57B36">
        <w:rPr>
          <w:rFonts w:asciiTheme="minorHAnsi" w:hAnsiTheme="minorHAnsi" w:cstheme="minorHAnsi"/>
          <w:b/>
          <w:bCs/>
          <w:color w:val="000000"/>
          <w:sz w:val="22"/>
          <w:szCs w:val="22"/>
        </w:rPr>
        <w:br/>
      </w:r>
      <w:r w:rsidRPr="00D57B36">
        <w:rPr>
          <w:rFonts w:asciiTheme="minorHAnsi" w:hAnsiTheme="minorHAnsi" w:cstheme="minorHAnsi"/>
          <w:color w:val="000000"/>
          <w:sz w:val="22"/>
          <w:szCs w:val="22"/>
        </w:rPr>
        <w:t>Osiguranje od požara i nekih drugih opasnosti podrazumijeva osiguranje od slijedećih rizika:</w:t>
      </w:r>
    </w:p>
    <w:p w:rsidR="00664E7E" w:rsidRPr="00D57B36" w:rsidRDefault="00664E7E" w:rsidP="00D57B36">
      <w:pPr>
        <w:pStyle w:val="StandardWeb"/>
        <w:numPr>
          <w:ilvl w:val="0"/>
          <w:numId w:val="22"/>
        </w:numPr>
        <w:tabs>
          <w:tab w:val="left" w:pos="540"/>
          <w:tab w:val="left" w:pos="3600"/>
          <w:tab w:val="right" w:leader="underscore" w:pos="6804"/>
        </w:tabs>
        <w:spacing w:before="0" w:beforeAutospacing="0" w:after="0" w:afterAutospacing="0"/>
        <w:ind w:left="426"/>
        <w:jc w:val="both"/>
        <w:rPr>
          <w:rStyle w:val="fontstyle21"/>
          <w:rFonts w:asciiTheme="minorHAnsi" w:hAnsiTheme="minorHAnsi" w:cstheme="minorHAnsi"/>
          <w:color w:val="auto"/>
          <w:sz w:val="22"/>
          <w:szCs w:val="22"/>
        </w:rPr>
      </w:pPr>
      <w:r w:rsidRPr="00D57B36">
        <w:rPr>
          <w:rFonts w:asciiTheme="minorHAnsi" w:hAnsiTheme="minorHAnsi" w:cstheme="minorHAnsi"/>
          <w:b/>
          <w:color w:val="000000"/>
          <w:sz w:val="22"/>
          <w:szCs w:val="22"/>
        </w:rPr>
        <w:t>Požar</w:t>
      </w:r>
      <w:r w:rsidRPr="00D57B36">
        <w:rPr>
          <w:rFonts w:asciiTheme="minorHAnsi" w:hAnsiTheme="minorHAnsi" w:cstheme="minorHAnsi"/>
          <w:color w:val="000000"/>
          <w:sz w:val="22"/>
          <w:szCs w:val="22"/>
        </w:rPr>
        <w:t xml:space="preserve">: </w:t>
      </w:r>
      <w:r w:rsidRPr="00D57B36">
        <w:rPr>
          <w:rStyle w:val="fontstyle21"/>
          <w:rFonts w:asciiTheme="minorHAnsi" w:hAnsiTheme="minorHAnsi" w:cstheme="minorHAnsi"/>
          <w:color w:val="auto"/>
          <w:sz w:val="22"/>
          <w:szCs w:val="22"/>
        </w:rPr>
        <w:t>požarom se smatra vatra nastala izvan određenog vatrišta ili vatra koja je ovo mjesto napustila i</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sposobna je dalje širiti se svojom vlastitom snagom, bez obzira je li nastala djelovanjem čovjeka ili ne. U</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osiguranje je uključena i šteta nastala djelovanjem dima nastalog požarom.</w:t>
      </w:r>
    </w:p>
    <w:p w:rsidR="00664E7E" w:rsidRPr="00D57B36" w:rsidRDefault="00664E7E" w:rsidP="00D57B36">
      <w:pPr>
        <w:pStyle w:val="StandardWeb"/>
        <w:numPr>
          <w:ilvl w:val="0"/>
          <w:numId w:val="22"/>
        </w:numPr>
        <w:tabs>
          <w:tab w:val="left" w:pos="540"/>
          <w:tab w:val="left" w:pos="3600"/>
          <w:tab w:val="right" w:leader="underscore" w:pos="6804"/>
        </w:tabs>
        <w:spacing w:before="0" w:beforeAutospacing="0" w:after="0" w:afterAutospacing="0"/>
        <w:ind w:left="426"/>
        <w:jc w:val="both"/>
        <w:rPr>
          <w:rStyle w:val="fontstyle21"/>
          <w:rFonts w:asciiTheme="minorHAnsi" w:hAnsiTheme="minorHAnsi" w:cstheme="minorHAnsi"/>
          <w:color w:val="auto"/>
          <w:sz w:val="22"/>
          <w:szCs w:val="22"/>
        </w:rPr>
      </w:pPr>
      <w:r w:rsidRPr="00D57B36">
        <w:rPr>
          <w:rStyle w:val="fontstyle21"/>
          <w:rFonts w:asciiTheme="minorHAnsi" w:hAnsiTheme="minorHAnsi" w:cstheme="minorHAnsi"/>
          <w:b/>
          <w:color w:val="auto"/>
          <w:sz w:val="22"/>
          <w:szCs w:val="22"/>
        </w:rPr>
        <w:t xml:space="preserve">Udarom groma </w:t>
      </w:r>
      <w:r w:rsidRPr="00D57B36">
        <w:rPr>
          <w:rStyle w:val="fontstyle21"/>
          <w:rFonts w:asciiTheme="minorHAnsi" w:hAnsiTheme="minorHAnsi" w:cstheme="minorHAnsi"/>
          <w:color w:val="auto"/>
          <w:sz w:val="22"/>
          <w:szCs w:val="22"/>
        </w:rPr>
        <w:t>(direktni ili indirektni)</w:t>
      </w:r>
      <w:r w:rsidRPr="00D57B36">
        <w:rPr>
          <w:rStyle w:val="fontstyle21"/>
          <w:rFonts w:asciiTheme="minorHAnsi" w:hAnsiTheme="minorHAnsi" w:cstheme="minorHAnsi"/>
          <w:color w:val="0070C0"/>
          <w:sz w:val="22"/>
          <w:szCs w:val="22"/>
        </w:rPr>
        <w:t xml:space="preserve">: </w:t>
      </w:r>
      <w:r w:rsidRPr="00D57B36">
        <w:rPr>
          <w:rStyle w:val="fontstyle21"/>
          <w:rFonts w:asciiTheme="minorHAnsi" w:hAnsiTheme="minorHAnsi" w:cstheme="minorHAnsi"/>
          <w:sz w:val="22"/>
          <w:szCs w:val="22"/>
        </w:rPr>
        <w:t>osiguranje od udara groma obuhvaća štete koje na osiguranim stvarima prouzroči grom djelovanjem</w:t>
      </w:r>
      <w:r w:rsidRPr="00D57B36">
        <w:rPr>
          <w:rFonts w:asciiTheme="minorHAnsi" w:hAnsiTheme="minorHAnsi" w:cstheme="minorHAnsi"/>
          <w:sz w:val="22"/>
          <w:szCs w:val="22"/>
        </w:rPr>
        <w:t xml:space="preserve"> </w:t>
      </w:r>
      <w:r w:rsidRPr="00D57B36">
        <w:rPr>
          <w:rStyle w:val="fontstyle21"/>
          <w:rFonts w:asciiTheme="minorHAnsi" w:hAnsiTheme="minorHAnsi" w:cstheme="minorHAnsi"/>
          <w:sz w:val="22"/>
          <w:szCs w:val="22"/>
        </w:rPr>
        <w:t>snage ili topline, kao i štete od udara predmeta srušenih gromom</w:t>
      </w:r>
      <w:r w:rsidRPr="00D57B36">
        <w:rPr>
          <w:rStyle w:val="fontstyle21"/>
          <w:rFonts w:asciiTheme="minorHAnsi" w:hAnsiTheme="minorHAnsi" w:cstheme="minorHAnsi"/>
          <w:color w:val="auto"/>
          <w:sz w:val="22"/>
          <w:szCs w:val="22"/>
        </w:rPr>
        <w:t>. Štete na kablovima uslijed udara groma</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smatraju se također predmetom osiguranja ukoliko su nastala oštećenja takve prirode da predmeti</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osiguranja ne zadovoljavaju tehničke uvjete u smislu pozitivnih propisa i pravila struke.</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U slučaju više</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 xml:space="preserve">udara groma i oštećenja imovine u jednom nevremenu na </w:t>
      </w:r>
      <w:proofErr w:type="spellStart"/>
      <w:r w:rsidRPr="00D57B36">
        <w:rPr>
          <w:rStyle w:val="fontstyle21"/>
          <w:rFonts w:asciiTheme="minorHAnsi" w:hAnsiTheme="minorHAnsi" w:cstheme="minorHAnsi"/>
          <w:color w:val="auto"/>
          <w:sz w:val="22"/>
          <w:szCs w:val="22"/>
        </w:rPr>
        <w:t>mikrolokaciji</w:t>
      </w:r>
      <w:proofErr w:type="spellEnd"/>
      <w:r w:rsidRPr="00D57B36">
        <w:rPr>
          <w:rStyle w:val="fontstyle21"/>
          <w:rFonts w:asciiTheme="minorHAnsi" w:hAnsiTheme="minorHAnsi" w:cstheme="minorHAnsi"/>
          <w:color w:val="auto"/>
          <w:sz w:val="22"/>
          <w:szCs w:val="22"/>
        </w:rPr>
        <w:t>, nastali štetni događaju promatrat</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će se kao jedan štetni događaj.</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Pokrivene su štete koje nastanu od indirektnog udara groma. Indirektni udar groma podrazumijeva prenapon ili indukciju na električnoj opremi i električnoj instalaciji nastalu kao posljedica udara groma na drugom mjestu.</w:t>
      </w:r>
    </w:p>
    <w:p w:rsidR="00664E7E" w:rsidRPr="00D57B36" w:rsidRDefault="00664E7E" w:rsidP="00D57B36">
      <w:pPr>
        <w:pStyle w:val="StandardWeb"/>
        <w:numPr>
          <w:ilvl w:val="0"/>
          <w:numId w:val="22"/>
        </w:numPr>
        <w:tabs>
          <w:tab w:val="left" w:pos="540"/>
          <w:tab w:val="left" w:pos="3600"/>
          <w:tab w:val="right" w:leader="underscore" w:pos="6804"/>
        </w:tabs>
        <w:spacing w:before="0" w:beforeAutospacing="0" w:after="0" w:afterAutospacing="0"/>
        <w:ind w:left="426"/>
        <w:jc w:val="both"/>
        <w:rPr>
          <w:rStyle w:val="fontstyle21"/>
          <w:rFonts w:asciiTheme="minorHAnsi" w:hAnsiTheme="minorHAnsi" w:cstheme="minorHAnsi"/>
          <w:color w:val="auto"/>
          <w:sz w:val="22"/>
          <w:szCs w:val="22"/>
        </w:rPr>
      </w:pPr>
      <w:r w:rsidRPr="00D57B36">
        <w:rPr>
          <w:rStyle w:val="fontstyle21"/>
          <w:rFonts w:asciiTheme="minorHAnsi" w:hAnsiTheme="minorHAnsi" w:cstheme="minorHAnsi"/>
          <w:b/>
          <w:sz w:val="22"/>
          <w:szCs w:val="22"/>
        </w:rPr>
        <w:t>Eksplozija</w:t>
      </w:r>
      <w:r w:rsidRPr="00D57B36">
        <w:rPr>
          <w:rStyle w:val="fontstyle21"/>
          <w:rFonts w:asciiTheme="minorHAnsi" w:hAnsiTheme="minorHAnsi" w:cstheme="minorHAnsi"/>
          <w:sz w:val="22"/>
          <w:szCs w:val="22"/>
        </w:rPr>
        <w:t xml:space="preserve"> (osim eksplozije nuklearne energije) je iznenadna manifestacija sile, koja rezultira ekspanzijom</w:t>
      </w:r>
      <w:r w:rsidRPr="00D57B36">
        <w:rPr>
          <w:rFonts w:asciiTheme="minorHAnsi" w:hAnsiTheme="minorHAnsi" w:cstheme="minorHAnsi"/>
          <w:sz w:val="22"/>
          <w:szCs w:val="22"/>
        </w:rPr>
        <w:t xml:space="preserve"> </w:t>
      </w:r>
      <w:r w:rsidRPr="00D57B36">
        <w:rPr>
          <w:rStyle w:val="fontstyle21"/>
          <w:rFonts w:asciiTheme="minorHAnsi" w:hAnsiTheme="minorHAnsi" w:cstheme="minorHAnsi"/>
          <w:sz w:val="22"/>
          <w:szCs w:val="22"/>
        </w:rPr>
        <w:t xml:space="preserve">plinova ili para. </w:t>
      </w:r>
      <w:r w:rsidRPr="00D57B36">
        <w:rPr>
          <w:rStyle w:val="fontstyle21"/>
          <w:rFonts w:asciiTheme="minorHAnsi" w:hAnsiTheme="minorHAnsi" w:cstheme="minorHAnsi"/>
          <w:color w:val="auto"/>
          <w:sz w:val="22"/>
          <w:szCs w:val="22"/>
        </w:rPr>
        <w:t>Pokriće uključuje i eksplozije posuda pod pritiskom (kotlova, cijevi i sl.) i eksplozije koje</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nastanu u spremniku uslijed kemijske reakcije. Osiguranjem od rizika eksplozije obuhvaćene su i štete od</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detonacije eksploziva u mirnodopskim uvjetima, osim šteta nastalih terorističkim djelovanjem ili</w:t>
      </w:r>
      <w:r w:rsidRPr="00D57B36">
        <w:rPr>
          <w:rFonts w:asciiTheme="minorHAnsi" w:hAnsiTheme="minorHAnsi" w:cstheme="minorHAnsi"/>
          <w:sz w:val="22"/>
          <w:szCs w:val="22"/>
        </w:rPr>
        <w:t xml:space="preserve"> </w:t>
      </w:r>
      <w:r w:rsidRPr="00D57B36">
        <w:rPr>
          <w:rStyle w:val="fontstyle21"/>
          <w:rFonts w:asciiTheme="minorHAnsi" w:hAnsiTheme="minorHAnsi" w:cstheme="minorHAnsi"/>
          <w:color w:val="auto"/>
          <w:sz w:val="22"/>
          <w:szCs w:val="22"/>
        </w:rPr>
        <w:t>prouzročenih političkim motivima.</w:t>
      </w:r>
    </w:p>
    <w:p w:rsidR="00664E7E" w:rsidRPr="00D57B36" w:rsidRDefault="00664E7E" w:rsidP="00D57B36">
      <w:pPr>
        <w:pStyle w:val="StandardWeb"/>
        <w:numPr>
          <w:ilvl w:val="0"/>
          <w:numId w:val="22"/>
        </w:numPr>
        <w:tabs>
          <w:tab w:val="left" w:pos="540"/>
          <w:tab w:val="left" w:pos="3600"/>
          <w:tab w:val="right" w:leader="underscore" w:pos="6804"/>
        </w:tabs>
        <w:spacing w:before="0" w:beforeAutospacing="0" w:after="0" w:afterAutospacing="0"/>
        <w:ind w:left="426"/>
        <w:jc w:val="both"/>
        <w:rPr>
          <w:rFonts w:asciiTheme="minorHAnsi" w:hAnsiTheme="minorHAnsi" w:cstheme="minorHAnsi"/>
          <w:sz w:val="22"/>
          <w:szCs w:val="22"/>
        </w:rPr>
      </w:pPr>
      <w:r w:rsidRPr="00D57B36">
        <w:rPr>
          <w:rStyle w:val="fontstyle21"/>
          <w:rFonts w:asciiTheme="minorHAnsi" w:hAnsiTheme="minorHAnsi" w:cstheme="minorHAnsi"/>
          <w:b/>
          <w:color w:val="auto"/>
          <w:sz w:val="22"/>
          <w:szCs w:val="22"/>
        </w:rPr>
        <w:t>Oluja:</w:t>
      </w:r>
      <w:r w:rsidRPr="00D57B36">
        <w:rPr>
          <w:rStyle w:val="fontstyle21"/>
          <w:rFonts w:asciiTheme="minorHAnsi" w:hAnsiTheme="minorHAnsi" w:cstheme="minorHAnsi"/>
          <w:color w:val="auto"/>
          <w:sz w:val="22"/>
          <w:szCs w:val="22"/>
        </w:rPr>
        <w:t xml:space="preserve"> </w:t>
      </w:r>
      <w:r w:rsidRPr="00D57B36">
        <w:rPr>
          <w:rFonts w:asciiTheme="minorHAnsi" w:hAnsiTheme="minorHAnsi" w:cstheme="minorHAnsi"/>
          <w:sz w:val="22"/>
          <w:szCs w:val="22"/>
        </w:rPr>
        <w:t>olujom se smatra vjetar brzine 17,2 m/s, odnosno 62 km/h (8 stupnjeva prema Beaufortovoj ljestvici) ili više na osiguranom području. Smatrat će se da je puhao vjetar ove brzine u kraju gdje se nalaze osigurane stvari, ako je vjetar lomio grane i/ili stabla ili oštetio redovno održavane predmete osiguranja. Štete od oluje obuhvaćene su osiguranjem kada su prouzročena mehanička oštećenja osigurane stvari uslijed neposrednog djelovanja oluje kao i izravnim udarom predmeta oborenih ili nošenih olujom.</w:t>
      </w:r>
    </w:p>
    <w:p w:rsidR="00664E7E" w:rsidRPr="00D57B36" w:rsidRDefault="00664E7E" w:rsidP="00D57B36">
      <w:pPr>
        <w:pStyle w:val="StandardWeb"/>
        <w:numPr>
          <w:ilvl w:val="0"/>
          <w:numId w:val="22"/>
        </w:numPr>
        <w:tabs>
          <w:tab w:val="left" w:pos="540"/>
          <w:tab w:val="left" w:pos="3600"/>
          <w:tab w:val="right" w:leader="underscore" w:pos="6804"/>
        </w:tabs>
        <w:spacing w:before="0" w:beforeAutospacing="0" w:after="0" w:afterAutospacing="0"/>
        <w:ind w:left="426"/>
        <w:jc w:val="both"/>
        <w:rPr>
          <w:rFonts w:asciiTheme="minorHAnsi" w:hAnsiTheme="minorHAnsi" w:cstheme="minorHAnsi"/>
          <w:color w:val="0070C0"/>
          <w:sz w:val="22"/>
          <w:szCs w:val="22"/>
        </w:rPr>
      </w:pPr>
      <w:r w:rsidRPr="00D57B36">
        <w:rPr>
          <w:rFonts w:asciiTheme="minorHAnsi" w:hAnsiTheme="minorHAnsi" w:cstheme="minorHAnsi"/>
          <w:b/>
          <w:color w:val="000000"/>
          <w:sz w:val="22"/>
          <w:szCs w:val="22"/>
        </w:rPr>
        <w:t>Tučom:</w:t>
      </w:r>
      <w:r w:rsidRPr="00D57B36">
        <w:rPr>
          <w:rFonts w:asciiTheme="minorHAnsi" w:hAnsiTheme="minorHAnsi" w:cstheme="minorHAnsi"/>
          <w:color w:val="000000"/>
          <w:sz w:val="22"/>
          <w:szCs w:val="22"/>
        </w:rPr>
        <w:t xml:space="preserve"> tučom se podrazumijevaju oborine u obliku granula leda. Oštećenjem su obuhvaćene štete od uništenja odnosno oštećenja osiguranih stvari koje prouzrokuje tuča svojim udarom tako da stvar razbije, probije, okrhne ili osigurana stvar pukne ili promijeni oblik zbog udara.</w:t>
      </w:r>
    </w:p>
    <w:p w:rsidR="00664E7E" w:rsidRPr="00D57B36" w:rsidRDefault="00664E7E" w:rsidP="00D57B36">
      <w:pPr>
        <w:pStyle w:val="StandardWeb"/>
        <w:tabs>
          <w:tab w:val="left" w:pos="540"/>
          <w:tab w:val="left" w:pos="3600"/>
          <w:tab w:val="right" w:leader="underscore" w:pos="6804"/>
        </w:tabs>
        <w:spacing w:before="0" w:beforeAutospacing="0" w:after="0" w:afterAutospacing="0"/>
        <w:ind w:left="426"/>
        <w:jc w:val="both"/>
        <w:rPr>
          <w:rFonts w:asciiTheme="minorHAnsi" w:hAnsiTheme="minorHAnsi" w:cstheme="minorHAnsi"/>
          <w:color w:val="000000"/>
          <w:sz w:val="22"/>
          <w:szCs w:val="22"/>
        </w:rPr>
      </w:pPr>
      <w:r w:rsidRPr="00D57B36">
        <w:rPr>
          <w:rFonts w:asciiTheme="minorHAnsi" w:hAnsiTheme="minorHAnsi" w:cstheme="minorHAnsi"/>
          <w:color w:val="000000"/>
          <w:sz w:val="22"/>
          <w:szCs w:val="22"/>
        </w:rPr>
        <w:t>Obuhvaćene su i štete od prodiranja oborina kroz otvore nastale od padanja tuče i/ili kao posljedica oluje, a koje mogu padati istovremeno i/ili nakon rizika tuče i/ili oluje, a prije mogućeg popravka oštećenog objekta, odnosno direktno oštećenje osigurane imovine od utjecaja oborina u navedenim slučajevima. U osiguranje od opasnosti oluje i tuče su uključena i pokrića šteta na imovini koje je pričvršćena na građevinski objekt (uključujući ali ne ograničavajući na reklamne ploče, antene, tende, odašiljači i srodna oprema, anemometri, solarni kolektori i dr.) kao i na objektima slabe gradnje (nadstrešnice) i stvarima koje su smještene u/ili ispod navedenih objekata pa i onda kada su poluotvoreni (natkriveni) kao i objekti poput šupa, spremnika te tende, šatori i dr.</w:t>
      </w:r>
    </w:p>
    <w:p w:rsidR="00664E7E" w:rsidRPr="00D57B36" w:rsidRDefault="00664E7E" w:rsidP="00D57B36">
      <w:pPr>
        <w:pStyle w:val="Odlomakpopisa"/>
        <w:numPr>
          <w:ilvl w:val="0"/>
          <w:numId w:val="22"/>
        </w:numPr>
        <w:spacing w:line="240" w:lineRule="auto"/>
        <w:ind w:left="426"/>
        <w:jc w:val="both"/>
        <w:rPr>
          <w:rFonts w:cstheme="minorHAnsi"/>
          <w:b/>
          <w:color w:val="0070C0"/>
        </w:rPr>
      </w:pPr>
      <w:r w:rsidRPr="00D57B36">
        <w:rPr>
          <w:rFonts w:cstheme="minorHAnsi"/>
          <w:b/>
        </w:rPr>
        <w:t xml:space="preserve">Udar motornog vozila: </w:t>
      </w:r>
      <w:r w:rsidRPr="00D57B36">
        <w:rPr>
          <w:rFonts w:cstheme="minorHAnsi"/>
          <w:color w:val="000000"/>
        </w:rPr>
        <w:t>udarom motornog vozila obuhvaćene su štete na osiguranoj građevini, opremi i/ili drugom osiguranom predmetu koje nastanu udarom vlastitog motornog vozila, vlastitog pokretnog radnog stroja,  i nepoznatog motornog vozila ili njihova tereta.</w:t>
      </w:r>
    </w:p>
    <w:p w:rsidR="00664E7E" w:rsidRPr="00D57B36" w:rsidRDefault="00664E7E" w:rsidP="00D57B36">
      <w:pPr>
        <w:pStyle w:val="Odlomakpopisa"/>
        <w:numPr>
          <w:ilvl w:val="0"/>
          <w:numId w:val="22"/>
        </w:numPr>
        <w:spacing w:line="240" w:lineRule="auto"/>
        <w:ind w:left="426"/>
        <w:jc w:val="both"/>
        <w:rPr>
          <w:rFonts w:cstheme="minorHAnsi"/>
          <w:b/>
        </w:rPr>
      </w:pPr>
      <w:r w:rsidRPr="00D57B36">
        <w:rPr>
          <w:rStyle w:val="fontstyle21"/>
          <w:rFonts w:asciiTheme="minorHAnsi" w:hAnsiTheme="minorHAnsi" w:cstheme="minorHAnsi"/>
          <w:b/>
          <w:sz w:val="22"/>
          <w:szCs w:val="22"/>
        </w:rPr>
        <w:t>Pod padom zračne letjelice</w:t>
      </w:r>
      <w:r w:rsidRPr="00D57B36">
        <w:rPr>
          <w:rStyle w:val="fontstyle21"/>
          <w:rFonts w:asciiTheme="minorHAnsi" w:hAnsiTheme="minorHAnsi" w:cstheme="minorHAnsi"/>
          <w:sz w:val="22"/>
          <w:szCs w:val="22"/>
        </w:rPr>
        <w:t xml:space="preserve"> podrazumijeva se pad ili udar letjelice bilo koje vrste, njihovih dijelova ili</w:t>
      </w:r>
      <w:r w:rsidRPr="00D57B36">
        <w:rPr>
          <w:rFonts w:cstheme="minorHAnsi"/>
        </w:rPr>
        <w:t xml:space="preserve"> </w:t>
      </w:r>
      <w:r w:rsidRPr="00D57B36">
        <w:rPr>
          <w:rStyle w:val="fontstyle21"/>
          <w:rFonts w:asciiTheme="minorHAnsi" w:hAnsiTheme="minorHAnsi" w:cstheme="minorHAnsi"/>
          <w:sz w:val="22"/>
          <w:szCs w:val="22"/>
        </w:rPr>
        <w:t>njihovih tereta na osigurane predmete osiguranja</w:t>
      </w:r>
      <w:r w:rsidRPr="00D57B36">
        <w:rPr>
          <w:rFonts w:cstheme="minorHAnsi"/>
        </w:rPr>
        <w:t xml:space="preserve"> </w:t>
      </w:r>
      <w:r w:rsidRPr="00D57B36">
        <w:rPr>
          <w:rStyle w:val="fontstyle21"/>
          <w:rFonts w:asciiTheme="minorHAnsi" w:hAnsiTheme="minorHAnsi" w:cstheme="minorHAnsi"/>
          <w:color w:val="auto"/>
          <w:sz w:val="22"/>
          <w:szCs w:val="22"/>
        </w:rPr>
        <w:t>(oštećenje ili uništenje).</w:t>
      </w:r>
      <w:r w:rsidRPr="00D57B36">
        <w:rPr>
          <w:rFonts w:cstheme="minorHAnsi"/>
        </w:rPr>
        <w:t xml:space="preserve"> </w:t>
      </w:r>
    </w:p>
    <w:p w:rsidR="00664E7E" w:rsidRPr="00D57B36" w:rsidRDefault="00664E7E" w:rsidP="00D57B36">
      <w:pPr>
        <w:pStyle w:val="Odlomakpopisa"/>
        <w:numPr>
          <w:ilvl w:val="0"/>
          <w:numId w:val="22"/>
        </w:numPr>
        <w:spacing w:line="240" w:lineRule="auto"/>
        <w:ind w:left="426"/>
        <w:jc w:val="both"/>
        <w:rPr>
          <w:rFonts w:cstheme="minorHAnsi"/>
        </w:rPr>
      </w:pPr>
      <w:r w:rsidRPr="00D57B36">
        <w:rPr>
          <w:rFonts w:cstheme="minorHAnsi"/>
          <w:b/>
        </w:rPr>
        <w:t>Manifestacijom i demonstracijom</w:t>
      </w:r>
      <w:r w:rsidRPr="00D57B36">
        <w:rPr>
          <w:rFonts w:cstheme="minorHAnsi"/>
        </w:rPr>
        <w:t xml:space="preserve"> smatra se organizirano ili spontano javno </w:t>
      </w:r>
      <w:proofErr w:type="spellStart"/>
      <w:r w:rsidRPr="00D57B36">
        <w:rPr>
          <w:rFonts w:cstheme="minorHAnsi"/>
        </w:rPr>
        <w:t>ispoljavanje</w:t>
      </w:r>
      <w:proofErr w:type="spellEnd"/>
      <w:r w:rsidRPr="00D57B36">
        <w:rPr>
          <w:rFonts w:cstheme="minorHAnsi"/>
        </w:rPr>
        <w:t xml:space="preserve"> raspoloženja grupe građana (brojčano nebitno koliko) i to na način da narušavaju javni red i mir i nasilno nastupaju prema ostalim ljudima i/ ili imovini na bilo koji način (rušenje, razbijanje, paljenje, demoliranje i dr.). Uz navedeno uključene su i neposredne štete zbog otimanja prilikom pljačkanja koje je u neposrednoj vezi sa manifestacijom ili demonstracijom.</w:t>
      </w:r>
    </w:p>
    <w:p w:rsidR="00664E7E" w:rsidRPr="00D57B36" w:rsidRDefault="00664E7E" w:rsidP="00D57B36">
      <w:pPr>
        <w:pStyle w:val="Odlomakpopisa"/>
        <w:numPr>
          <w:ilvl w:val="0"/>
          <w:numId w:val="22"/>
        </w:numPr>
        <w:spacing w:line="240" w:lineRule="auto"/>
        <w:ind w:left="426"/>
        <w:jc w:val="both"/>
        <w:rPr>
          <w:rFonts w:cstheme="minorHAnsi"/>
          <w:b/>
          <w:bCs/>
          <w:color w:val="0070C0"/>
        </w:rPr>
      </w:pPr>
      <w:r w:rsidRPr="00D57B36">
        <w:rPr>
          <w:rFonts w:cstheme="minorHAnsi"/>
          <w:b/>
        </w:rPr>
        <w:t xml:space="preserve">Pritisak snijega i snježna lavina: </w:t>
      </w:r>
      <w:r w:rsidRPr="00D57B36">
        <w:rPr>
          <w:rFonts w:cstheme="minorHAnsi"/>
        </w:rPr>
        <w:t xml:space="preserve">snježnom se lavinom smatra snježna masa ili led u pokretu koji se otkida s planinskih obronaka. Osiguranjem su obuhvaćene i štete prouzročene djelovanjem </w:t>
      </w:r>
      <w:r w:rsidRPr="00D57B36">
        <w:rPr>
          <w:rFonts w:cstheme="minorHAnsi"/>
        </w:rPr>
        <w:lastRenderedPageBreak/>
        <w:t>zračnog tlaka od snježne lavine. Pritiskom snijega smatra se djelovanje snježnih i ledenih masa na osigurani objekt i težine snježnih ili ledenih masa na osiguranu imovinu, opremu i dr.</w:t>
      </w:r>
      <w:r w:rsidRPr="00D57B36">
        <w:rPr>
          <w:rFonts w:cstheme="minorHAnsi"/>
          <w:b/>
        </w:rPr>
        <w:t xml:space="preserve"> </w:t>
      </w:r>
      <w:r w:rsidRPr="00D57B36">
        <w:rPr>
          <w:rFonts w:cstheme="minorHAnsi"/>
        </w:rPr>
        <w:t xml:space="preserve">uključujući i klizanje istih po osiguranim površinama. Osiguranje se odnosi i na djelovanje snježnih i ledenih masa u slučaju pada s jednog predmeta osiguranja na drugi te na naknadu tako nastalih oštećenja. Također, osiguranje se odnosi i na oštećenja raznih folija od umjetnog materijala, a koje služe za pokrivanje neposredno ili u obliku tunela, i svih zračnih žičnih vodova, dalekovoda, kablova i mreža te ostalih objekata/opreme i od same prekomjerne težine snježne mase odnosno leda. </w:t>
      </w:r>
    </w:p>
    <w:p w:rsidR="00664E7E" w:rsidRPr="00D57B36" w:rsidRDefault="00664E7E" w:rsidP="00D57B36">
      <w:pPr>
        <w:pStyle w:val="Odlomakpopisa"/>
        <w:numPr>
          <w:ilvl w:val="0"/>
          <w:numId w:val="22"/>
        </w:numPr>
        <w:spacing w:line="240" w:lineRule="auto"/>
        <w:ind w:left="426"/>
        <w:jc w:val="both"/>
        <w:rPr>
          <w:rFonts w:cstheme="minorHAnsi"/>
        </w:rPr>
      </w:pPr>
      <w:r w:rsidRPr="00D57B36">
        <w:rPr>
          <w:rFonts w:cstheme="minorHAnsi"/>
          <w:b/>
        </w:rPr>
        <w:t>Odron kamenja i klizanje tla</w:t>
      </w:r>
      <w:r w:rsidRPr="00D57B36">
        <w:rPr>
          <w:rFonts w:cstheme="minorHAnsi"/>
        </w:rPr>
        <w:t xml:space="preserve">: podrazumijeva prirodno odronjavanje i pad mase kamenja na osiguranu građevinu, opremu i dr. </w:t>
      </w:r>
      <w:r w:rsidRPr="00D57B36">
        <w:rPr>
          <w:rFonts w:cstheme="minorHAnsi"/>
          <w:color w:val="231F20"/>
        </w:rPr>
        <w:t>Smatra se da je nastao osigurani slučaj odronjavanja na osiguranoj stvari samo onda ako je materijal koji se odronio udario na osiguranu stvar i uništio je i/ili oštetio.</w:t>
      </w:r>
      <w:r w:rsidRPr="00D57B36">
        <w:rPr>
          <w:rFonts w:cstheme="minorHAnsi"/>
        </w:rPr>
        <w:t xml:space="preserve"> Prirodno podzemno kretanje mase zemlje ili kamenja uzduž putanje ispod površine, smatra se klizanjem tla. </w:t>
      </w:r>
    </w:p>
    <w:p w:rsidR="00664E7E" w:rsidRPr="00D57B36" w:rsidRDefault="00664E7E" w:rsidP="00D57B36">
      <w:pPr>
        <w:spacing w:line="240" w:lineRule="auto"/>
        <w:jc w:val="both"/>
        <w:rPr>
          <w:rFonts w:cstheme="minorHAnsi"/>
        </w:rPr>
      </w:pPr>
      <w:r w:rsidRPr="00D57B36">
        <w:rPr>
          <w:rFonts w:cstheme="minorHAnsi"/>
          <w:color w:val="000000"/>
        </w:rPr>
        <w:t>Izljev vode iz vodovodnih i kanalizacijskih cijevi na prvi rizik, te poplava, bujica i visoka voda na prvi rizik.</w:t>
      </w:r>
    </w:p>
    <w:p w:rsidR="00664E7E" w:rsidRPr="00D57B36" w:rsidRDefault="00664E7E" w:rsidP="00D57B36">
      <w:pPr>
        <w:pStyle w:val="Odlomakpopisa"/>
        <w:numPr>
          <w:ilvl w:val="0"/>
          <w:numId w:val="22"/>
        </w:numPr>
        <w:spacing w:line="240" w:lineRule="auto"/>
        <w:ind w:left="426"/>
        <w:jc w:val="both"/>
        <w:rPr>
          <w:rFonts w:cstheme="minorHAnsi"/>
          <w:color w:val="000000"/>
        </w:rPr>
      </w:pPr>
      <w:r w:rsidRPr="00D57B36">
        <w:rPr>
          <w:rFonts w:cstheme="minorHAnsi"/>
          <w:b/>
        </w:rPr>
        <w:t xml:space="preserve">Izljev vode iz vodovodnih i kanalizacijskih cijevi: </w:t>
      </w:r>
      <w:r w:rsidRPr="00D57B36">
        <w:rPr>
          <w:rFonts w:cstheme="minorHAnsi"/>
          <w:color w:val="000000"/>
        </w:rPr>
        <w:t xml:space="preserve">osiguratelj pokriva štete na osiguranoj imovini koja se uništi, ošteti ili nestane zbog izljeva vode iz vodovodnih i kanalizacijskih cijevi kao i uređaja za grijanje toplom vodom i parno grijanje te drugih uređaja i aparata priključenih na vodovodnu mrežu, iznenadnog izbijanja pare iz uređaja za toplu vodu i parno grijanje, do kojeg je došlo zbog oštećenja ili začepljenja (loma, </w:t>
      </w:r>
      <w:proofErr w:type="spellStart"/>
      <w:r w:rsidRPr="00D57B36">
        <w:rPr>
          <w:rFonts w:cstheme="minorHAnsi"/>
          <w:color w:val="000000"/>
        </w:rPr>
        <w:t>prsnuća</w:t>
      </w:r>
      <w:proofErr w:type="spellEnd"/>
      <w:r w:rsidRPr="00D57B36">
        <w:rPr>
          <w:rFonts w:cstheme="minorHAnsi"/>
          <w:color w:val="000000"/>
        </w:rPr>
        <w:t xml:space="preserve"> ili otkazivanja uređaja za upravljanje I sigurnost) tih cijevi i/ ili uređaja. Tekućine koje prenose toplinu smatraju se jednake vodi, uključivo ali ne ograničavajući na slanu vodu, ulje, rashladna sredstva i slično i/ili bilo kojeg drugog medija (tekućine). Pod vodovodne cijevi koje su sastavni dio građevine koja se osigurava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uključivši i priključak, odnosno do mjesta priključka kanalizacijske cijevi na septičku jamu. Osiguranje uključuje štete nastale unutar i izvan osiguranog objekta i to štete od oštećenja, pucanja</w:t>
      </w:r>
      <w:r w:rsidRPr="00D57B36">
        <w:rPr>
          <w:rFonts w:cstheme="minorHAnsi"/>
        </w:rPr>
        <w:t xml:space="preserve">: vodovodnim i kanalizacijskim cijevima, cijevima postrojenja za grijanje toplom vodom ili </w:t>
      </w:r>
      <w:r w:rsidRPr="00D57B36">
        <w:rPr>
          <w:rFonts w:cstheme="minorHAnsi"/>
          <w:color w:val="000000"/>
        </w:rPr>
        <w:t xml:space="preserve">parom ili cijevima i dijelovima klimatizacijskih uređaja, cijevima i dijelovima postrojenja za grijanje s crpkama ili na sunčevu energiju kao i cijevima i dijelovima </w:t>
      </w:r>
      <w:proofErr w:type="spellStart"/>
      <w:r w:rsidRPr="00D57B36">
        <w:rPr>
          <w:rFonts w:cstheme="minorHAnsi"/>
          <w:color w:val="000000"/>
        </w:rPr>
        <w:t>sprinklerskih</w:t>
      </w:r>
      <w:proofErr w:type="spellEnd"/>
      <w:r w:rsidRPr="00D57B36">
        <w:rPr>
          <w:rFonts w:cstheme="minorHAnsi"/>
          <w:color w:val="000000"/>
        </w:rPr>
        <w:t xml:space="preserve"> uređaja, uređaja za raspršivanje vode i uređaja za gašenje i natapanje, cijevima grijaćih tijela, WC-ima s ispiranjem, slavinama za vodu, sifonima, vodomjerima ili sličnim instalacijama. Ukoliko su dostupne kontroli osiguranika, osiguranik je dužan brinuti se za kontrolu i održavanje vodovodne i odvodne kanalizacijske mreže, uređaja za grijanje toplom vodom ili parno grijanje, i za njihovu zaštitu od smrzavanja. Osiguranjem nisu uključene štete nastale pucanjem ili oštećenjem zbog smrzavanja na vanjskim, nezaštićenim cijevima ukoliko prethodno nisu poduzete razumne i uobičajene mjere zaštite kako do štetnog događaja ne bi došlo. Osiguranje uključuje i troškove pronalaženja mjesta štete, sanacije štete i dovođenja u prvobitno stanje predmeta osiguranja odnosno pripadajuće lokacije, nastale kao posljedica nekog od imenovanih rizika bez obzira je li prilikom nastanka štetnog događaja došlo do oštećenja osigurane imovine.</w:t>
      </w:r>
    </w:p>
    <w:p w:rsidR="00664E7E" w:rsidRPr="00D57B36" w:rsidRDefault="00664E7E" w:rsidP="00D57B36">
      <w:pPr>
        <w:pStyle w:val="Odlomakpopisa"/>
        <w:numPr>
          <w:ilvl w:val="0"/>
          <w:numId w:val="22"/>
        </w:numPr>
        <w:spacing w:line="240" w:lineRule="auto"/>
        <w:ind w:left="426"/>
        <w:jc w:val="both"/>
        <w:rPr>
          <w:rFonts w:cstheme="minorHAnsi"/>
        </w:rPr>
      </w:pPr>
      <w:r w:rsidRPr="00D57B36">
        <w:rPr>
          <w:rFonts w:cstheme="minorHAnsi"/>
          <w:b/>
        </w:rPr>
        <w:t xml:space="preserve">Poplava, bujica i visoka voda: </w:t>
      </w:r>
      <w:r w:rsidRPr="00D57B36">
        <w:rPr>
          <w:rFonts w:cstheme="minorHAnsi"/>
        </w:rPr>
        <w:t xml:space="preserve">poplavom se smatra stihijsko neočekivano poplavljivanje terena od stalnih voda (rijeka, jezera, mora i dr.) zbog toga što se voda izlila iz korita na bilo koji način ili preplavila/probila obrambeni nasip ili branu te izlijevanje vode zbog izvanredne plime i valova na moru i jezerima neobične jačine, i od nadolaska vode iz umjetnih jezera. Poplavom se smatra  poplavljivanje terena zbog naglog stvaranja velike količine vodene mase koja je nastala kao posljedica proloma oblaka. </w:t>
      </w:r>
    </w:p>
    <w:p w:rsidR="00664E7E" w:rsidRPr="00D57B36" w:rsidRDefault="00664E7E" w:rsidP="00D57B36">
      <w:pPr>
        <w:pStyle w:val="Odlomakpopisa"/>
        <w:spacing w:line="240" w:lineRule="auto"/>
        <w:ind w:left="426"/>
        <w:jc w:val="both"/>
        <w:rPr>
          <w:rFonts w:cstheme="minorHAnsi"/>
        </w:rPr>
      </w:pPr>
      <w:r w:rsidRPr="00D57B36">
        <w:rPr>
          <w:rFonts w:cstheme="minorHAnsi"/>
        </w:rPr>
        <w:t xml:space="preserve">Bujicom se smatra stihijsko poplavljivanje terena vodenom masom koja se stvara na </w:t>
      </w:r>
      <w:proofErr w:type="spellStart"/>
      <w:r w:rsidRPr="00D57B36">
        <w:rPr>
          <w:rFonts w:cstheme="minorHAnsi"/>
        </w:rPr>
        <w:t>nizbrdnim</w:t>
      </w:r>
      <w:proofErr w:type="spellEnd"/>
      <w:r w:rsidRPr="00D57B36">
        <w:rPr>
          <w:rFonts w:cstheme="minorHAnsi"/>
        </w:rPr>
        <w:t xml:space="preserve"> terenima zbog jakih atmosferskih oborina i slijevanja ulicama, putovima (asfaltiranim ili ne), šumskim putevima, trasama i dr. </w:t>
      </w:r>
    </w:p>
    <w:p w:rsidR="00664E7E" w:rsidRPr="00D57B36" w:rsidRDefault="00664E7E" w:rsidP="00D57B36">
      <w:pPr>
        <w:pStyle w:val="Odlomakpopisa"/>
        <w:spacing w:line="240" w:lineRule="auto"/>
        <w:ind w:left="426"/>
        <w:jc w:val="both"/>
        <w:rPr>
          <w:rFonts w:cstheme="minorHAnsi"/>
        </w:rPr>
      </w:pPr>
      <w:r w:rsidRPr="00D57B36">
        <w:rPr>
          <w:rFonts w:cstheme="minorHAnsi"/>
        </w:rPr>
        <w:lastRenderedPageBreak/>
        <w:t>Visokim vodama smatraju se pojave neuobičajenog porasta vodostaja uzrokovano ekstremnim kišnim oborinama, topljenjem snijega ili olujom kao i podzemne vode (neočekivan prodor vode u građevinski objekt) kao posljedica visoke vode. U slučaju poplave i bujice uključene su štete od poplavljivanja vode izlite iz kanalizacijske mreže.</w:t>
      </w:r>
      <w:r w:rsidRPr="00D57B36">
        <w:rPr>
          <w:rFonts w:cstheme="minorHAnsi"/>
          <w:color w:val="0070C0"/>
        </w:rPr>
        <w:t xml:space="preserve"> </w:t>
      </w:r>
      <w:r w:rsidRPr="00D57B36">
        <w:rPr>
          <w:rFonts w:cstheme="minorHAnsi"/>
        </w:rPr>
        <w:t>Osiguranjem je pokriven i rizik oborinskih voda za posredne i neposredne štete na predmetu osiguranja koji se uništi, ošteti i nestane zbog oborinskih voda. Oborinske vode su vode nastale padom iz oblaka.</w:t>
      </w:r>
      <w:r w:rsidRPr="00D57B36">
        <w:rPr>
          <w:rFonts w:cstheme="minorHAnsi"/>
          <w:color w:val="0070C0"/>
        </w:rPr>
        <w:t xml:space="preserve"> </w:t>
      </w:r>
      <w:r w:rsidRPr="00D57B36">
        <w:rPr>
          <w:rFonts w:cstheme="minorHAnsi"/>
        </w:rPr>
        <w:t xml:space="preserve">Osiguranje se odnosi na cjelokupnu imovinu osiguranika bez obzira radi li se o podzemno ili nadzemno postavljenoj imovini. </w:t>
      </w:r>
    </w:p>
    <w:p w:rsidR="00664E7E" w:rsidRPr="00D57B36" w:rsidRDefault="00664E7E" w:rsidP="00D57B36">
      <w:pPr>
        <w:pStyle w:val="Odlomakpopisa"/>
        <w:numPr>
          <w:ilvl w:val="0"/>
          <w:numId w:val="22"/>
        </w:numPr>
        <w:spacing w:line="240" w:lineRule="auto"/>
        <w:ind w:left="426"/>
        <w:jc w:val="both"/>
        <w:rPr>
          <w:rFonts w:cstheme="minorHAnsi"/>
        </w:rPr>
      </w:pPr>
      <w:r w:rsidRPr="00D57B36">
        <w:rPr>
          <w:rFonts w:cstheme="minorHAnsi"/>
          <w:b/>
        </w:rPr>
        <w:t>Provalna krađa</w:t>
      </w:r>
      <w:r w:rsidRPr="00D57B36">
        <w:rPr>
          <w:rFonts w:cstheme="minorHAnsi"/>
        </w:rPr>
        <w:t xml:space="preserve"> uključujući vandalizam i razbojstvo: </w:t>
      </w:r>
      <w:r w:rsidRPr="00D57B36">
        <w:rPr>
          <w:rFonts w:cstheme="minorHAnsi"/>
          <w:color w:val="000000"/>
        </w:rPr>
        <w:t xml:space="preserve">osiguranjem se pruža </w:t>
      </w:r>
      <w:proofErr w:type="spellStart"/>
      <w:r w:rsidRPr="00D57B36">
        <w:rPr>
          <w:rFonts w:cstheme="minorHAnsi"/>
          <w:color w:val="000000"/>
        </w:rPr>
        <w:t>osigurateljna</w:t>
      </w:r>
      <w:proofErr w:type="spellEnd"/>
      <w:r w:rsidRPr="00D57B36">
        <w:rPr>
          <w:rFonts w:cstheme="minorHAnsi"/>
          <w:color w:val="000000"/>
        </w:rPr>
        <w:t xml:space="preserve"> zaštita od rizika izvršenja ili pokušaja izvršenja provalne krađe ili razbojstva, kao i obijesti (vandalizma) tijekom provalne krađe. Osiguranjem se pokriva šteta od odnošenja, uništenja ili oštećenja ili osiguranih stvari, otimanja, kao i šteta prouzročena oštećenjem građevinskih dijelova prostorija, instalacije i opreme (oštećenje zidova, stropova, vrata, stakala, brava itd.) u kojima se nalaze osigurane stvari prilikom izvršenja ili pokušaja izvršenja provalne krađe, razbojstva i vandalizma, i to u visini troškova popravka. </w:t>
      </w:r>
      <w:r w:rsidRPr="00D57B36">
        <w:rPr>
          <w:rFonts w:cstheme="minorHAnsi"/>
        </w:rPr>
        <w:t>Ovom vrstom osiguranja, osigurane su i stvari radnika koji obavljaju posao na mjestu osiguranja, kao i stvari trećih osoba primljenih radi obavljanja registrirane djelatnosti, popravka, prerade, obrade, predaje u najam, čuvanje u zalog i slično. Uključeni je i mjerna oprema u vozilima.</w:t>
      </w:r>
    </w:p>
    <w:p w:rsidR="00664E7E" w:rsidRPr="00D57B36" w:rsidRDefault="00664E7E" w:rsidP="00D57B36">
      <w:pPr>
        <w:pStyle w:val="Odlomakpopisa"/>
        <w:numPr>
          <w:ilvl w:val="0"/>
          <w:numId w:val="22"/>
        </w:numPr>
        <w:spacing w:line="240" w:lineRule="auto"/>
        <w:ind w:left="426"/>
        <w:jc w:val="both"/>
        <w:rPr>
          <w:rFonts w:cstheme="minorHAnsi"/>
        </w:rPr>
      </w:pPr>
      <w:r w:rsidRPr="00D57B36">
        <w:rPr>
          <w:rFonts w:cstheme="minorHAnsi"/>
          <w:b/>
        </w:rPr>
        <w:t xml:space="preserve">Lom stroja: </w:t>
      </w:r>
      <w:r w:rsidRPr="00D57B36">
        <w:rPr>
          <w:rFonts w:cstheme="minorHAnsi"/>
          <w:color w:val="000000"/>
        </w:rPr>
        <w:t>predmet osiguranja su svi strojevi, aparati i uređaji s pripadnim instalacijama i punjenjem, zajedno s postoljem, ležištem i temeljem</w:t>
      </w:r>
      <w:r w:rsidRPr="00D57B36">
        <w:rPr>
          <w:rFonts w:cstheme="minorHAnsi"/>
        </w:rPr>
        <w:t>, kompletna infrastruktura (sve vrste), vodovodnu i kanalizacijsku mrežu, kabelske vodove  bez obzira gdje se nalazili. U osiguranje je uključena i mehanička oprema građevinskih objekata (vodovodna mreža, kanalizacija, plin, telefonija, internet i sl., klimatizacija, kotlovnice, liftovi i ostalo) a koja nije posebno iskazana u osnovnim sredstvima osiguranika.</w:t>
      </w:r>
    </w:p>
    <w:p w:rsidR="00915F52" w:rsidRDefault="00664E7E" w:rsidP="00D57B36">
      <w:pPr>
        <w:pStyle w:val="Odlomakpopisa"/>
        <w:autoSpaceDE w:val="0"/>
        <w:autoSpaceDN w:val="0"/>
        <w:adjustRightInd w:val="0"/>
        <w:spacing w:line="240" w:lineRule="auto"/>
        <w:ind w:left="426"/>
        <w:jc w:val="both"/>
        <w:rPr>
          <w:rFonts w:cstheme="minorHAnsi"/>
        </w:rPr>
      </w:pPr>
      <w:r w:rsidRPr="00D57B36">
        <w:rPr>
          <w:rFonts w:cstheme="minorHAnsi"/>
        </w:rPr>
        <w:t xml:space="preserve">Osiguranjem se pruža </w:t>
      </w:r>
      <w:proofErr w:type="spellStart"/>
      <w:r w:rsidRPr="00D57B36">
        <w:rPr>
          <w:rFonts w:cstheme="minorHAnsi"/>
        </w:rPr>
        <w:t>osigurateljna</w:t>
      </w:r>
      <w:proofErr w:type="spellEnd"/>
      <w:r w:rsidRPr="00D57B36">
        <w:rPr>
          <w:rFonts w:cstheme="minorHAnsi"/>
        </w:rPr>
        <w:t xml:space="preserve"> zaštita od oštećenja ili uništenja stvari zbog: nezgode u pogonu (događaja koji nastane nepredviđeno i iznenada u svezi s uporabom osigurane stvari); nespretnosti, nehata ili zle namjere radnika ili neke druge osobe; pada osiguranog predmeta, upada ili udara stranog predmeta u osigurani predmet; izravnog djelovanja električne energije u vidu </w:t>
      </w:r>
      <w:proofErr w:type="spellStart"/>
      <w:r w:rsidRPr="00D57B36">
        <w:rPr>
          <w:rFonts w:cstheme="minorHAnsi"/>
        </w:rPr>
        <w:t>podnapona</w:t>
      </w:r>
      <w:proofErr w:type="spellEnd"/>
      <w:r w:rsidRPr="00D57B36">
        <w:rPr>
          <w:rFonts w:cstheme="minorHAnsi"/>
        </w:rPr>
        <w:t xml:space="preserve">, prenapona ili </w:t>
      </w:r>
      <w:proofErr w:type="spellStart"/>
      <w:r w:rsidRPr="00D57B36">
        <w:rPr>
          <w:rFonts w:cstheme="minorHAnsi"/>
        </w:rPr>
        <w:t>prekostruje</w:t>
      </w:r>
      <w:proofErr w:type="spellEnd"/>
      <w:r w:rsidRPr="00D57B36">
        <w:rPr>
          <w:rFonts w:cstheme="minorHAnsi"/>
        </w:rPr>
        <w:t xml:space="preserve">; posrednog djelovanja električne energije prenesene vodovima tijekom grmljavinskog nevremena; greške u materijalu ili projektantske pogreške u konstrukciji; implozijom ili drugim deformacijama uslijed </w:t>
      </w:r>
      <w:proofErr w:type="spellStart"/>
      <w:r w:rsidRPr="00D57B36">
        <w:rPr>
          <w:rFonts w:cstheme="minorHAnsi"/>
        </w:rPr>
        <w:t>podtlaka</w:t>
      </w:r>
      <w:proofErr w:type="spellEnd"/>
      <w:r w:rsidRPr="00D57B36">
        <w:rPr>
          <w:rFonts w:cstheme="minorHAnsi"/>
        </w:rPr>
        <w:t>; zatajenja elemenata zaštite (električke, mehaničke, nad/pod temperaturne i itd.); zatajenje mjerne i regulacijske opreme i sl. Pod nezgodom u pogonu podrazumijevaju se događaji koji nastaju nepredviđeno i iznenada u svezi s uporabom osigurane stvari.</w:t>
      </w:r>
    </w:p>
    <w:p w:rsidR="00253F84" w:rsidRPr="00D57B36" w:rsidRDefault="00253F84" w:rsidP="00D57B36">
      <w:pPr>
        <w:pStyle w:val="Odlomakpopisa"/>
        <w:autoSpaceDE w:val="0"/>
        <w:autoSpaceDN w:val="0"/>
        <w:adjustRightInd w:val="0"/>
        <w:spacing w:line="240" w:lineRule="auto"/>
        <w:ind w:left="426"/>
        <w:jc w:val="both"/>
        <w:rPr>
          <w:rFonts w:cstheme="minorHAnsi"/>
        </w:rPr>
      </w:pPr>
      <w:r w:rsidRPr="00253F84">
        <w:rPr>
          <w:rFonts w:cstheme="minorHAnsi"/>
        </w:rPr>
        <w:t xml:space="preserve">Visina osigurnine u slučaju oštećenja </w:t>
      </w:r>
      <w:r>
        <w:rPr>
          <w:rFonts w:cstheme="minorHAnsi"/>
        </w:rPr>
        <w:t>predmeta osiguranja</w:t>
      </w:r>
      <w:r w:rsidRPr="00253F84">
        <w:rPr>
          <w:rFonts w:cstheme="minorHAnsi"/>
        </w:rPr>
        <w:t xml:space="preserve"> ne umanjuje se za iznos procijenjene istrošenosti odnosno amortizacije.</w:t>
      </w:r>
    </w:p>
    <w:p w:rsidR="00915F52" w:rsidRPr="00D57B36" w:rsidRDefault="00915F52" w:rsidP="00D57B36">
      <w:pPr>
        <w:pStyle w:val="Odlomakpopisa"/>
        <w:autoSpaceDE w:val="0"/>
        <w:autoSpaceDN w:val="0"/>
        <w:adjustRightInd w:val="0"/>
        <w:spacing w:line="240" w:lineRule="auto"/>
        <w:ind w:left="426"/>
        <w:jc w:val="both"/>
        <w:rPr>
          <w:rFonts w:cstheme="minorHAnsi"/>
        </w:rPr>
      </w:pPr>
    </w:p>
    <w:p w:rsidR="00915F52" w:rsidRPr="00D57B36" w:rsidRDefault="00915F52" w:rsidP="00D57B36">
      <w:pPr>
        <w:pStyle w:val="Odlomakpopisa"/>
        <w:autoSpaceDE w:val="0"/>
        <w:autoSpaceDN w:val="0"/>
        <w:adjustRightInd w:val="0"/>
        <w:spacing w:line="240" w:lineRule="auto"/>
        <w:ind w:left="0"/>
        <w:jc w:val="both"/>
        <w:rPr>
          <w:rFonts w:cstheme="minorHAnsi"/>
        </w:rPr>
      </w:pPr>
      <w:r w:rsidRPr="00D57B36">
        <w:rPr>
          <w:rFonts w:cstheme="minorHAnsi"/>
        </w:rPr>
        <w:t>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w:t>
      </w:r>
    </w:p>
    <w:p w:rsidR="00915F52" w:rsidRPr="00D57B36" w:rsidRDefault="00915F52" w:rsidP="00D57B36">
      <w:pPr>
        <w:pStyle w:val="Odlomakpopisa"/>
        <w:autoSpaceDE w:val="0"/>
        <w:autoSpaceDN w:val="0"/>
        <w:adjustRightInd w:val="0"/>
        <w:spacing w:line="240" w:lineRule="auto"/>
        <w:ind w:left="426"/>
        <w:jc w:val="both"/>
        <w:rPr>
          <w:rFonts w:cstheme="minorHAnsi"/>
        </w:rPr>
      </w:pPr>
    </w:p>
    <w:p w:rsidR="00915F52" w:rsidRPr="00D57B36" w:rsidRDefault="00915F52" w:rsidP="00D57B36">
      <w:pPr>
        <w:pStyle w:val="Odlomakpopisa"/>
        <w:spacing w:line="240" w:lineRule="auto"/>
        <w:ind w:left="0"/>
        <w:rPr>
          <w:rFonts w:cstheme="minorHAnsi"/>
          <w:b/>
        </w:rPr>
      </w:pPr>
      <w:r w:rsidRPr="00D57B36">
        <w:rPr>
          <w:rFonts w:cstheme="minorHAnsi"/>
          <w:b/>
        </w:rPr>
        <w:t>OSIGURANI TROŠKOVI:</w:t>
      </w:r>
    </w:p>
    <w:p w:rsidR="00915F52" w:rsidRDefault="00915F52" w:rsidP="00D57B36">
      <w:pPr>
        <w:pStyle w:val="Odlomakpopisa"/>
        <w:autoSpaceDE w:val="0"/>
        <w:autoSpaceDN w:val="0"/>
        <w:adjustRightInd w:val="0"/>
        <w:spacing w:line="240" w:lineRule="auto"/>
        <w:ind w:left="0"/>
        <w:jc w:val="both"/>
        <w:rPr>
          <w:rFonts w:cstheme="minorHAnsi"/>
          <w:szCs w:val="20"/>
        </w:rPr>
      </w:pPr>
      <w:r w:rsidRPr="00D57B36">
        <w:rPr>
          <w:rFonts w:cstheme="minorHAnsi"/>
        </w:rPr>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kao i nužni troškovi potrebni da se izvrši sigurna sanacija štete  kao i</w:t>
      </w:r>
      <w:r w:rsidRPr="00915F52">
        <w:rPr>
          <w:rFonts w:cstheme="minorHAnsi"/>
          <w:szCs w:val="20"/>
        </w:rPr>
        <w:t xml:space="preserve"> zakonom propisani posljedični troškovi. </w:t>
      </w:r>
    </w:p>
    <w:p w:rsidR="00915F52" w:rsidRPr="00915F52" w:rsidRDefault="00915F52" w:rsidP="00D57B36">
      <w:pPr>
        <w:pStyle w:val="Odlomakpopisa"/>
        <w:autoSpaceDE w:val="0"/>
        <w:autoSpaceDN w:val="0"/>
        <w:adjustRightInd w:val="0"/>
        <w:spacing w:line="240" w:lineRule="auto"/>
        <w:ind w:left="0"/>
        <w:jc w:val="both"/>
        <w:rPr>
          <w:rFonts w:cstheme="minorHAnsi"/>
          <w:szCs w:val="20"/>
        </w:rPr>
      </w:pPr>
      <w:r w:rsidRPr="00915F52">
        <w:rPr>
          <w:rFonts w:cstheme="minorHAnsi"/>
          <w:szCs w:val="20"/>
        </w:rPr>
        <w:t>Ukoliko je utvrđena nemogućnost pop</w:t>
      </w:r>
      <w:r w:rsidR="00655546">
        <w:rPr>
          <w:rFonts w:cstheme="minorHAnsi"/>
          <w:szCs w:val="20"/>
        </w:rPr>
        <w:t>ravka unutar Republike Hrvatske</w:t>
      </w:r>
      <w:r w:rsidRPr="00915F52">
        <w:rPr>
          <w:rFonts w:cstheme="minorHAnsi"/>
          <w:szCs w:val="20"/>
        </w:rPr>
        <w:t xml:space="preserve"> uključuje se popravak osigurane stvari uz pomoć stručnjaka servisera iz inozemstva. Pokrivaju se svi zavisni troškovi uslijed takvog popravka. Prilikom sanacije štete u obračun se prihvaća satnica ovlaštenog inozemnog servisera </w:t>
      </w:r>
      <w:r w:rsidRPr="00915F52">
        <w:rPr>
          <w:rFonts w:cstheme="minorHAnsi"/>
          <w:szCs w:val="20"/>
        </w:rPr>
        <w:lastRenderedPageBreak/>
        <w:t>kao i nabava zamjenskih dijelova iz inozemstva uključujući sve potrebne troškove za njihovu nabavu na mjesto štete, kao i troškovi popravka zbog prekovremenog nedjeljnog, prazničkog i noćnog rada.</w:t>
      </w:r>
    </w:p>
    <w:p w:rsidR="00253F84" w:rsidRDefault="00253F84" w:rsidP="00D270CD">
      <w:pPr>
        <w:autoSpaceDE w:val="0"/>
        <w:autoSpaceDN w:val="0"/>
        <w:spacing w:after="0" w:line="240" w:lineRule="auto"/>
        <w:jc w:val="both"/>
        <w:rPr>
          <w:rFonts w:ascii="Calibri" w:eastAsia="Calibri" w:hAnsi="Calibri" w:cs="Calibri"/>
          <w:b/>
          <w:bCs/>
        </w:rPr>
      </w:pPr>
    </w:p>
    <w:p w:rsidR="00253F84" w:rsidRDefault="00253F84" w:rsidP="00D270CD">
      <w:pPr>
        <w:autoSpaceDE w:val="0"/>
        <w:autoSpaceDN w:val="0"/>
        <w:spacing w:after="0" w:line="240" w:lineRule="auto"/>
        <w:jc w:val="both"/>
        <w:rPr>
          <w:rFonts w:ascii="Calibri" w:eastAsia="Calibri" w:hAnsi="Calibri" w:cs="Calibri"/>
          <w:b/>
          <w:bCs/>
        </w:rPr>
      </w:pPr>
    </w:p>
    <w:p w:rsidR="00D270CD" w:rsidRDefault="00D270CD" w:rsidP="00D270CD">
      <w:pPr>
        <w:autoSpaceDE w:val="0"/>
        <w:autoSpaceDN w:val="0"/>
        <w:spacing w:after="0" w:line="240" w:lineRule="auto"/>
        <w:jc w:val="both"/>
        <w:rPr>
          <w:rFonts w:ascii="Calibri" w:eastAsia="Calibri" w:hAnsi="Calibri" w:cs="Calibri"/>
          <w:b/>
          <w:bCs/>
        </w:rPr>
      </w:pPr>
      <w:r w:rsidRPr="00D270CD">
        <w:rPr>
          <w:rFonts w:ascii="Calibri" w:eastAsia="Calibri" w:hAnsi="Calibri" w:cs="Calibri"/>
          <w:b/>
          <w:bCs/>
        </w:rPr>
        <w:t>NAČIN OSIGURANJA:</w:t>
      </w:r>
    </w:p>
    <w:p w:rsidR="00022984" w:rsidRPr="00D270CD" w:rsidRDefault="00022984" w:rsidP="00D270CD">
      <w:pPr>
        <w:autoSpaceDE w:val="0"/>
        <w:autoSpaceDN w:val="0"/>
        <w:spacing w:after="0" w:line="240" w:lineRule="auto"/>
        <w:jc w:val="both"/>
        <w:rPr>
          <w:rFonts w:ascii="Calibri" w:eastAsia="Calibri" w:hAnsi="Calibri" w:cs="Calibri"/>
          <w:b/>
          <w:bCs/>
        </w:rPr>
      </w:pPr>
    </w:p>
    <w:p w:rsidR="00D270CD" w:rsidRPr="00D270CD" w:rsidRDefault="00D270CD" w:rsidP="00D270CD">
      <w:pPr>
        <w:spacing w:line="240" w:lineRule="auto"/>
        <w:contextualSpacing/>
        <w:jc w:val="both"/>
      </w:pPr>
      <w:r w:rsidRPr="00D270CD">
        <w:t xml:space="preserve">Osiguranje je sklopljeno na sporazumno-ugovorenu vrijednost gdje je osnovica za izračun premije ujedno i gornja granica </w:t>
      </w:r>
      <w:proofErr w:type="spellStart"/>
      <w:r w:rsidRPr="00D270CD">
        <w:t>osigurateljne</w:t>
      </w:r>
      <w:proofErr w:type="spellEnd"/>
      <w:r w:rsidRPr="00D270CD">
        <w:t xml:space="preserve"> obveze. </w:t>
      </w:r>
    </w:p>
    <w:p w:rsidR="00D270CD" w:rsidRPr="00D270CD" w:rsidRDefault="00D270CD" w:rsidP="00D270CD">
      <w:pPr>
        <w:spacing w:line="240" w:lineRule="auto"/>
        <w:contextualSpacing/>
        <w:jc w:val="both"/>
      </w:pPr>
      <w:r w:rsidRPr="00D270CD">
        <w:t xml:space="preserve">Sporazumno-ugovorena vrijednost osigurane stvari u ovoj dokumentaciji je vrijednost procijenjena od strane ovlaštenih osoba (uključujući i djelatnike osiguranika) koja može, a i ne mora biti upisana u poslovne knjige osiguranika, a iskazana je u </w:t>
      </w:r>
      <w:r w:rsidR="005C1821">
        <w:t>P</w:t>
      </w:r>
      <w:r w:rsidRPr="00D270CD">
        <w:t>rivitku br.</w:t>
      </w:r>
      <w:r w:rsidR="00336F50">
        <w:t xml:space="preserve"> 1</w:t>
      </w:r>
      <w:r w:rsidRPr="00D270CD">
        <w:t>.</w:t>
      </w:r>
    </w:p>
    <w:p w:rsidR="00D270CD" w:rsidRPr="00D270CD" w:rsidRDefault="00D270CD" w:rsidP="00D270CD">
      <w:pPr>
        <w:spacing w:line="240" w:lineRule="auto"/>
        <w:contextualSpacing/>
        <w:jc w:val="both"/>
      </w:pPr>
      <w:r w:rsidRPr="00D270CD">
        <w:t xml:space="preserve">Načelo </w:t>
      </w:r>
      <w:proofErr w:type="spellStart"/>
      <w:r w:rsidRPr="00D270CD">
        <w:t>srazmjera</w:t>
      </w:r>
      <w:proofErr w:type="spellEnd"/>
      <w:r w:rsidRPr="00D270CD">
        <w:t xml:space="preserve"> kao posljedica </w:t>
      </w:r>
      <w:proofErr w:type="spellStart"/>
      <w:r w:rsidRPr="00D270CD">
        <w:t>podosiguranja</w:t>
      </w:r>
      <w:proofErr w:type="spellEnd"/>
      <w:r w:rsidRPr="00D270CD">
        <w:t xml:space="preserve"> neće se primjenjivati. Uključuje se doplatak za otkup učešća u šteti, te doplatak za osiguranje amortizirane vrijednosti. </w:t>
      </w:r>
    </w:p>
    <w:p w:rsidR="00D270CD" w:rsidRPr="00D270CD" w:rsidRDefault="00D270CD" w:rsidP="00D270CD">
      <w:pPr>
        <w:spacing w:line="240" w:lineRule="auto"/>
        <w:contextualSpacing/>
        <w:jc w:val="both"/>
      </w:pPr>
      <w:r w:rsidRPr="00D270CD">
        <w:t xml:space="preserve">                                                                                                                            </w:t>
      </w:r>
    </w:p>
    <w:p w:rsidR="00D270CD" w:rsidRDefault="00D270CD" w:rsidP="00D270CD">
      <w:pPr>
        <w:spacing w:line="240" w:lineRule="auto"/>
        <w:contextualSpacing/>
        <w:jc w:val="both"/>
      </w:pPr>
      <w:r w:rsidRPr="00D270CD">
        <w:t xml:space="preserve">Predmet osiguranja su svi strojevi tj. mjerni instrumenti koji se nalaze na lokacijama naručitelja, prema popisu u Privitku </w:t>
      </w:r>
      <w:r w:rsidR="00336F50">
        <w:t>1</w:t>
      </w:r>
      <w:r w:rsidRPr="00D270CD">
        <w:t xml:space="preserve">. Uključeni su i mjerni uređaji u vozilima. Uključuje se </w:t>
      </w:r>
      <w:proofErr w:type="spellStart"/>
      <w:r w:rsidRPr="00D270CD">
        <w:t>osigurateljno</w:t>
      </w:r>
      <w:proofErr w:type="spellEnd"/>
      <w:r w:rsidRPr="00D270CD">
        <w:t xml:space="preserve"> pokriće za pokretne stvari i izvan mjesta osiguranja navedenog u polici na području Republike Hrvatske, kao i na području izvan Republike Hrvatske. </w:t>
      </w:r>
    </w:p>
    <w:p w:rsidR="00253F84" w:rsidRPr="00D270CD" w:rsidRDefault="00253F84" w:rsidP="00D270CD">
      <w:pPr>
        <w:spacing w:line="240" w:lineRule="auto"/>
        <w:contextualSpacing/>
        <w:jc w:val="both"/>
      </w:pPr>
    </w:p>
    <w:p w:rsidR="00D270CD" w:rsidRPr="00D270CD" w:rsidRDefault="00D270CD" w:rsidP="00D270CD">
      <w:pPr>
        <w:spacing w:line="240" w:lineRule="auto"/>
        <w:contextualSpacing/>
        <w:jc w:val="both"/>
      </w:pPr>
      <w:r w:rsidRPr="00D270CD">
        <w:t xml:space="preserve">                    </w:t>
      </w:r>
    </w:p>
    <w:p w:rsidR="00D270CD" w:rsidRDefault="00D270CD" w:rsidP="00D270CD">
      <w:pPr>
        <w:spacing w:line="240" w:lineRule="auto"/>
        <w:contextualSpacing/>
        <w:jc w:val="both"/>
        <w:rPr>
          <w:b/>
          <w:bCs/>
        </w:rPr>
      </w:pPr>
      <w:r w:rsidRPr="00D270CD">
        <w:rPr>
          <w:b/>
          <w:bCs/>
        </w:rPr>
        <w:t>ODREDBE O ODREĐIVANJU OSNOVICE ZA IZRAČUN PREMIJE, VRIJEDNOSTI OSIGURANE STVARI I ODREĐIVANJU OSIGURATELJNE OBVEZE</w:t>
      </w:r>
    </w:p>
    <w:p w:rsidR="00D270CD" w:rsidRPr="00D270CD" w:rsidRDefault="00D270CD" w:rsidP="00D270CD">
      <w:pPr>
        <w:spacing w:line="240" w:lineRule="auto"/>
        <w:contextualSpacing/>
        <w:jc w:val="both"/>
        <w:rPr>
          <w:b/>
          <w:bCs/>
        </w:rPr>
      </w:pPr>
    </w:p>
    <w:p w:rsidR="00D270CD" w:rsidRPr="00D270CD" w:rsidRDefault="00D270CD" w:rsidP="00D270CD">
      <w:pPr>
        <w:autoSpaceDE w:val="0"/>
        <w:autoSpaceDN w:val="0"/>
        <w:spacing w:after="0" w:line="240" w:lineRule="auto"/>
        <w:jc w:val="both"/>
        <w:rPr>
          <w:rFonts w:ascii="Calibri" w:eastAsia="Calibri" w:hAnsi="Calibri" w:cs="Calibri"/>
          <w:b/>
          <w:bCs/>
        </w:rPr>
      </w:pPr>
      <w:r w:rsidRPr="00D270CD">
        <w:rPr>
          <w:rFonts w:ascii="Calibri" w:eastAsia="Calibri" w:hAnsi="Calibri" w:cs="Calibri"/>
          <w:b/>
          <w:bCs/>
        </w:rPr>
        <w:t xml:space="preserve">Opće definicije: </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Nova vrijednost</w:t>
      </w:r>
      <w:r w:rsidRPr="00D270CD">
        <w:rPr>
          <w:rFonts w:ascii="Calibri" w:eastAsia="Calibri" w:hAnsi="Calibri" w:cs="Calibri"/>
        </w:rPr>
        <w:t xml:space="preserve"> predmeta osiguranja je njegova nova vrijednost prema cijenama izgradnje odnosno nabave u mjestu gdje se predmet nalazi uključujući pripadajuće pristojbe za arhitektonske usluge, pripadajuće troškove konstruiranja i projektiranja, troškove dopreme, montaže i carine, domaćeg ili inozemnog servisa.</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Stvarna vrijednost predmeta</w:t>
      </w:r>
      <w:r w:rsidRPr="00D270CD">
        <w:rPr>
          <w:rFonts w:ascii="Calibri" w:eastAsia="Calibri" w:hAnsi="Calibri" w:cs="Calibri"/>
        </w:rPr>
        <w:t xml:space="preserve"> osiguranja je njegova nova vrijednost umanjena za iznos procijenjene istrošenosti. </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Knjigovodstvena nabavna vrijednost</w:t>
      </w:r>
      <w:r w:rsidRPr="00D270CD">
        <w:rPr>
          <w:rFonts w:ascii="Calibri" w:eastAsia="Calibri" w:hAnsi="Calibri" w:cs="Calibri"/>
        </w:rPr>
        <w:t>  je vrijednost nabave te knjiženja predmeta osiguranja u poslovne knjige osiguranika.</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Knjigovodstvena sadašnja vrijednost</w:t>
      </w:r>
      <w:r w:rsidRPr="00D270CD">
        <w:rPr>
          <w:rFonts w:ascii="Calibri" w:eastAsia="Calibri" w:hAnsi="Calibri" w:cs="Calibri"/>
        </w:rPr>
        <w:t xml:space="preserve"> je nabavna knjigovodstvena vrijednost umanjena za knjigovodstvenu istrošenost (amortizaciju), te ona u pojedinim slučajevima može biti 0,00.</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Sporazumno ugovorena vrijednost</w:t>
      </w:r>
      <w:r w:rsidRPr="00D270CD">
        <w:rPr>
          <w:rFonts w:ascii="Calibri" w:eastAsia="Calibri" w:hAnsi="Calibri" w:cs="Calibri"/>
        </w:rPr>
        <w:t xml:space="preserve"> osigurane stvari je vrijednost koja ovisno o ODREDBAMA O NAČINU ODREĐIVANJU OSNOVICE ZA OBRAČUN PREMIJE može biti:</w:t>
      </w:r>
    </w:p>
    <w:p w:rsidR="00D270CD" w:rsidRPr="00D270CD" w:rsidRDefault="00D270CD" w:rsidP="00D270CD">
      <w:pPr>
        <w:numPr>
          <w:ilvl w:val="0"/>
          <w:numId w:val="27"/>
        </w:numPr>
        <w:autoSpaceDE w:val="0"/>
        <w:autoSpaceDN w:val="0"/>
        <w:spacing w:after="0" w:line="240" w:lineRule="auto"/>
        <w:contextualSpacing/>
        <w:jc w:val="both"/>
      </w:pPr>
      <w:r w:rsidRPr="00D270CD">
        <w:t>vrijednost procijenjena od strane ovlaštenih osoba (uključujući i djelatnike osiguranika) koja može a i ne mora biti upisana u poslovne knjige osiguranika</w:t>
      </w:r>
    </w:p>
    <w:p w:rsidR="00D270CD" w:rsidRPr="00D270CD" w:rsidRDefault="00D270CD" w:rsidP="00D270CD">
      <w:pPr>
        <w:numPr>
          <w:ilvl w:val="0"/>
          <w:numId w:val="27"/>
        </w:numPr>
        <w:spacing w:after="0" w:line="252" w:lineRule="auto"/>
        <w:contextualSpacing/>
      </w:pPr>
      <w:r w:rsidRPr="00D270CD">
        <w:t>knjigovodstvena nabavna vrijednost</w:t>
      </w:r>
    </w:p>
    <w:p w:rsidR="00253F84" w:rsidRDefault="00253F84" w:rsidP="00D270CD">
      <w:pPr>
        <w:spacing w:line="252" w:lineRule="auto"/>
        <w:ind w:left="1068"/>
        <w:contextualSpacing/>
      </w:pPr>
    </w:p>
    <w:p w:rsidR="00253F84" w:rsidRPr="00D270CD" w:rsidRDefault="00253F84" w:rsidP="00D270CD">
      <w:pPr>
        <w:spacing w:line="252" w:lineRule="auto"/>
        <w:ind w:left="1068"/>
        <w:contextualSpacing/>
      </w:pPr>
    </w:p>
    <w:p w:rsidR="00D270CD" w:rsidRPr="00D270CD" w:rsidRDefault="00D270CD" w:rsidP="00D270CD">
      <w:pPr>
        <w:autoSpaceDE w:val="0"/>
        <w:autoSpaceDN w:val="0"/>
        <w:spacing w:after="0" w:line="240" w:lineRule="auto"/>
        <w:jc w:val="both"/>
        <w:rPr>
          <w:rFonts w:ascii="Calibri" w:eastAsia="Calibri" w:hAnsi="Calibri" w:cs="Calibri"/>
          <w:b/>
          <w:bCs/>
        </w:rPr>
      </w:pPr>
      <w:r w:rsidRPr="00D270CD">
        <w:rPr>
          <w:rFonts w:ascii="Calibri" w:eastAsia="Calibri" w:hAnsi="Calibri" w:cs="Calibri"/>
          <w:b/>
          <w:bCs/>
        </w:rPr>
        <w:t xml:space="preserve">NAČIN ODREĐIVANJA OSNOVICE ZA IZRAČUN PREMIJE                  </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 xml:space="preserve">Ukoliko je vrijednost predmeta osiguranja procijenjena od strane ovlaštene osobe (uključujući i djelatnike osiguranika), smatra se da je osnovica za izračun premije dostavljena procijenjena vrijednost predmeta osiguranja prema </w:t>
      </w:r>
      <w:r w:rsidR="005C1821">
        <w:rPr>
          <w:rFonts w:ascii="Calibri" w:eastAsia="Calibri" w:hAnsi="Calibri" w:cs="Calibri"/>
        </w:rPr>
        <w:t>P</w:t>
      </w:r>
      <w:r w:rsidRPr="00D270CD">
        <w:rPr>
          <w:rFonts w:ascii="Calibri" w:eastAsia="Calibri" w:hAnsi="Calibri" w:cs="Calibri"/>
        </w:rPr>
        <w:t xml:space="preserve">rivitku br. </w:t>
      </w:r>
      <w:r w:rsidR="00336F50">
        <w:rPr>
          <w:rFonts w:ascii="Calibri" w:eastAsia="Calibri" w:hAnsi="Calibri" w:cs="Calibri"/>
        </w:rPr>
        <w:t>1</w:t>
      </w:r>
      <w:r w:rsidRPr="00D270CD">
        <w:rPr>
          <w:rFonts w:ascii="Calibri" w:eastAsia="Calibri" w:hAnsi="Calibri" w:cs="Calibri"/>
        </w:rPr>
        <w:t>.</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Kao osnovica za izračun premije za imovinu koju Naručitelj nabavi tijekom trajanja osiguranja utvrđuje se knjigovodstvena nabavna vrijednost predmeta osiguranja.</w:t>
      </w:r>
    </w:p>
    <w:p w:rsidR="00D270CD" w:rsidRDefault="00D270CD" w:rsidP="00D270CD">
      <w:pPr>
        <w:autoSpaceDE w:val="0"/>
        <w:autoSpaceDN w:val="0"/>
        <w:spacing w:after="0" w:line="240" w:lineRule="auto"/>
        <w:jc w:val="both"/>
        <w:rPr>
          <w:rFonts w:ascii="Calibri" w:eastAsia="Calibri" w:hAnsi="Calibri" w:cs="Calibri"/>
        </w:rPr>
      </w:pPr>
    </w:p>
    <w:p w:rsidR="00D270CD" w:rsidRDefault="00D270CD" w:rsidP="00D270CD">
      <w:pPr>
        <w:autoSpaceDE w:val="0"/>
        <w:autoSpaceDN w:val="0"/>
        <w:spacing w:after="0" w:line="240" w:lineRule="auto"/>
        <w:jc w:val="both"/>
        <w:rPr>
          <w:rFonts w:ascii="Calibri" w:eastAsia="Calibri" w:hAnsi="Calibri" w:cs="Calibri"/>
        </w:rPr>
      </w:pPr>
    </w:p>
    <w:p w:rsidR="00253F84" w:rsidRDefault="00253F84" w:rsidP="00D270CD">
      <w:pPr>
        <w:autoSpaceDE w:val="0"/>
        <w:autoSpaceDN w:val="0"/>
        <w:spacing w:after="0" w:line="240" w:lineRule="auto"/>
        <w:jc w:val="both"/>
        <w:rPr>
          <w:rFonts w:ascii="Calibri" w:eastAsia="Calibri" w:hAnsi="Calibri" w:cs="Calibri"/>
        </w:rPr>
      </w:pPr>
    </w:p>
    <w:p w:rsidR="00253F84" w:rsidRPr="00D270CD" w:rsidRDefault="00253F84" w:rsidP="00D270CD">
      <w:pPr>
        <w:autoSpaceDE w:val="0"/>
        <w:autoSpaceDN w:val="0"/>
        <w:spacing w:after="0" w:line="240" w:lineRule="auto"/>
        <w:jc w:val="both"/>
        <w:rPr>
          <w:rFonts w:ascii="Calibri" w:eastAsia="Calibri" w:hAnsi="Calibri" w:cs="Calibri"/>
        </w:rPr>
      </w:pPr>
    </w:p>
    <w:p w:rsidR="00D270CD" w:rsidRDefault="00D270CD" w:rsidP="00D270CD">
      <w:pPr>
        <w:autoSpaceDE w:val="0"/>
        <w:autoSpaceDN w:val="0"/>
        <w:spacing w:after="0" w:line="240" w:lineRule="auto"/>
        <w:jc w:val="both"/>
        <w:rPr>
          <w:rFonts w:ascii="Calibri" w:eastAsia="Calibri" w:hAnsi="Calibri" w:cs="Calibri"/>
          <w:b/>
          <w:bCs/>
        </w:rPr>
      </w:pPr>
      <w:r w:rsidRPr="00D270CD">
        <w:rPr>
          <w:rFonts w:ascii="Calibri" w:eastAsia="Calibri" w:hAnsi="Calibri" w:cs="Calibri"/>
          <w:b/>
          <w:bCs/>
        </w:rPr>
        <w:lastRenderedPageBreak/>
        <w:t>NAČIN ODREĐIVANJA OSIGURATELJNE OBVEZE</w:t>
      </w:r>
    </w:p>
    <w:p w:rsidR="00D270CD" w:rsidRPr="00D270CD" w:rsidRDefault="00D270CD" w:rsidP="00D270CD">
      <w:pPr>
        <w:autoSpaceDE w:val="0"/>
        <w:autoSpaceDN w:val="0"/>
        <w:spacing w:after="0" w:line="240" w:lineRule="auto"/>
        <w:jc w:val="both"/>
        <w:rPr>
          <w:rFonts w:ascii="Calibri" w:eastAsia="Calibri" w:hAnsi="Calibri" w:cs="Calibri"/>
          <w:b/>
          <w:bCs/>
        </w:rPr>
      </w:pP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b/>
          <w:bCs/>
        </w:rPr>
        <w:t>Visina osigurnine</w:t>
      </w:r>
      <w:r w:rsidRPr="00D270CD">
        <w:rPr>
          <w:rFonts w:ascii="Calibri" w:eastAsia="Calibri" w:hAnsi="Calibri" w:cs="Calibri"/>
        </w:rPr>
        <w:t xml:space="preserve"> utvrđuje se ovisno o  definiranoj osnovici za izračun premije osiguranja:</w:t>
      </w:r>
    </w:p>
    <w:p w:rsidR="00D270CD" w:rsidRPr="00D270CD" w:rsidRDefault="00D270CD" w:rsidP="00D270CD">
      <w:pPr>
        <w:numPr>
          <w:ilvl w:val="0"/>
          <w:numId w:val="28"/>
        </w:numPr>
        <w:autoSpaceDE w:val="0"/>
        <w:autoSpaceDN w:val="0"/>
        <w:spacing w:after="0" w:line="240" w:lineRule="auto"/>
        <w:contextualSpacing/>
        <w:jc w:val="both"/>
      </w:pPr>
      <w:r w:rsidRPr="00D270CD">
        <w:t xml:space="preserve">U slučaju uništenja predmeta osiguranja gornja granica </w:t>
      </w:r>
      <w:proofErr w:type="spellStart"/>
      <w:r w:rsidRPr="00D270CD">
        <w:t>osigurateljne</w:t>
      </w:r>
      <w:proofErr w:type="spellEnd"/>
      <w:r w:rsidRPr="00D270CD">
        <w:t xml:space="preserve"> obveze je:</w:t>
      </w:r>
    </w:p>
    <w:p w:rsidR="00D270CD" w:rsidRPr="00D270CD" w:rsidRDefault="00D270CD" w:rsidP="00D270CD">
      <w:pPr>
        <w:numPr>
          <w:ilvl w:val="1"/>
          <w:numId w:val="28"/>
        </w:numPr>
        <w:autoSpaceDE w:val="0"/>
        <w:autoSpaceDN w:val="0"/>
        <w:spacing w:after="0" w:line="240" w:lineRule="auto"/>
        <w:contextualSpacing/>
        <w:jc w:val="both"/>
      </w:pPr>
      <w:r w:rsidRPr="00D270CD">
        <w:t>procijenjena vrijednost dostavljena od strane ovlaštenih osoba (uključujući i djelatnike osiguranika) koja može i ne mora biti uvedena u poslovne knjige osiguranika ili</w:t>
      </w:r>
    </w:p>
    <w:p w:rsidR="00D270CD" w:rsidRPr="00D270CD" w:rsidRDefault="00D270CD" w:rsidP="00D270CD">
      <w:pPr>
        <w:numPr>
          <w:ilvl w:val="1"/>
          <w:numId w:val="28"/>
        </w:numPr>
        <w:spacing w:after="0" w:line="252" w:lineRule="auto"/>
        <w:contextualSpacing/>
      </w:pPr>
      <w:r w:rsidRPr="00D270CD">
        <w:t xml:space="preserve">knjigovodstvena nabavna vrijednost </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 xml:space="preserve">Naknada osiguranja se ne umanjuje za iznos procijenjene istrošenosti i vrijednosti ostatka. </w:t>
      </w:r>
    </w:p>
    <w:p w:rsidR="00D270CD" w:rsidRPr="00D270CD" w:rsidRDefault="00D270CD" w:rsidP="00D270CD">
      <w:pPr>
        <w:autoSpaceDE w:val="0"/>
        <w:autoSpaceDN w:val="0"/>
        <w:spacing w:after="0" w:line="240" w:lineRule="auto"/>
        <w:jc w:val="both"/>
        <w:rPr>
          <w:rFonts w:ascii="Calibri" w:eastAsia="Calibri" w:hAnsi="Calibri" w:cs="Calibri"/>
        </w:rPr>
      </w:pPr>
    </w:p>
    <w:p w:rsidR="00D270CD" w:rsidRPr="00D270CD" w:rsidRDefault="00D270CD" w:rsidP="00D270CD">
      <w:pPr>
        <w:numPr>
          <w:ilvl w:val="0"/>
          <w:numId w:val="28"/>
        </w:numPr>
        <w:autoSpaceDE w:val="0"/>
        <w:autoSpaceDN w:val="0"/>
        <w:spacing w:after="0" w:line="240" w:lineRule="auto"/>
        <w:contextualSpacing/>
        <w:jc w:val="both"/>
      </w:pPr>
      <w:r w:rsidRPr="00D270CD">
        <w:t>U slučaju oštećenja u visini troškova popravka potrebnih da se osigurani predmet dovede u stanje u kojem je bio prije oštećenja ali do iznosa:</w:t>
      </w:r>
    </w:p>
    <w:p w:rsidR="00D270CD" w:rsidRPr="00D270CD" w:rsidRDefault="00D270CD" w:rsidP="00D270CD">
      <w:pPr>
        <w:numPr>
          <w:ilvl w:val="1"/>
          <w:numId w:val="28"/>
        </w:numPr>
        <w:autoSpaceDE w:val="0"/>
        <w:autoSpaceDN w:val="0"/>
        <w:spacing w:after="0" w:line="240" w:lineRule="auto"/>
        <w:contextualSpacing/>
        <w:jc w:val="both"/>
      </w:pPr>
      <w:r w:rsidRPr="00D270CD">
        <w:t>procijenjene vrijednosti dostavljene od strane ovlaštenih osoba (uključujući i djelatnike osiguranika) koja može i ne mora biti uvedena u poslovne knjige osiguranika ili</w:t>
      </w:r>
    </w:p>
    <w:p w:rsidR="00D270CD" w:rsidRPr="00D270CD" w:rsidRDefault="00D270CD" w:rsidP="00D270CD">
      <w:pPr>
        <w:numPr>
          <w:ilvl w:val="1"/>
          <w:numId w:val="28"/>
        </w:numPr>
        <w:spacing w:after="0" w:line="252" w:lineRule="auto"/>
        <w:contextualSpacing/>
      </w:pPr>
      <w:r w:rsidRPr="00D270CD">
        <w:t xml:space="preserve">knjigovodstvene nabavne vrijednosti </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 xml:space="preserve">Naknada osiguranja se ne umanjuje za iznos procijenjene istrošenosti i vrijednosti ostatka. </w:t>
      </w:r>
    </w:p>
    <w:p w:rsidR="00D270CD" w:rsidRPr="00D270CD" w:rsidRDefault="00D270CD" w:rsidP="00D270CD">
      <w:pPr>
        <w:autoSpaceDE w:val="0"/>
        <w:autoSpaceDN w:val="0"/>
        <w:spacing w:after="0" w:line="240" w:lineRule="auto"/>
        <w:ind w:left="720"/>
        <w:contextualSpacing/>
        <w:jc w:val="both"/>
      </w:pP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 xml:space="preserve">U oba slučaja prilikom obračuna štete načelo </w:t>
      </w:r>
      <w:proofErr w:type="spellStart"/>
      <w:r w:rsidRPr="00D270CD">
        <w:rPr>
          <w:rFonts w:ascii="Calibri" w:eastAsia="Calibri" w:hAnsi="Calibri" w:cs="Calibri"/>
        </w:rPr>
        <w:t>srazmjera</w:t>
      </w:r>
      <w:proofErr w:type="spellEnd"/>
      <w:r w:rsidRPr="00D270CD">
        <w:rPr>
          <w:rFonts w:ascii="Calibri" w:eastAsia="Calibri" w:hAnsi="Calibri" w:cs="Calibri"/>
        </w:rPr>
        <w:t xml:space="preserve"> kao posljedica </w:t>
      </w:r>
      <w:proofErr w:type="spellStart"/>
      <w:r w:rsidRPr="00D270CD">
        <w:rPr>
          <w:rFonts w:ascii="Calibri" w:eastAsia="Calibri" w:hAnsi="Calibri" w:cs="Calibri"/>
        </w:rPr>
        <w:t>podosiguranja</w:t>
      </w:r>
      <w:proofErr w:type="spellEnd"/>
      <w:r w:rsidRPr="00D270CD">
        <w:rPr>
          <w:rFonts w:ascii="Calibri" w:eastAsia="Calibri" w:hAnsi="Calibri" w:cs="Calibri"/>
        </w:rPr>
        <w:t xml:space="preserve"> neće se primjenjivati.</w:t>
      </w:r>
    </w:p>
    <w:p w:rsidR="00D270CD" w:rsidRPr="00D270CD" w:rsidRDefault="00D270CD" w:rsidP="00D270CD">
      <w:pPr>
        <w:autoSpaceDE w:val="0"/>
        <w:autoSpaceDN w:val="0"/>
        <w:spacing w:after="0" w:line="240" w:lineRule="auto"/>
        <w:jc w:val="both"/>
        <w:rPr>
          <w:rFonts w:ascii="Calibri" w:eastAsia="Calibri" w:hAnsi="Calibri" w:cs="Calibri"/>
        </w:rPr>
      </w:pPr>
      <w:r w:rsidRPr="00D270CD">
        <w:rPr>
          <w:rFonts w:ascii="Calibri" w:eastAsia="Calibri" w:hAnsi="Calibri" w:cs="Calibri"/>
        </w:rPr>
        <w:t xml:space="preserve">Iznimno, u oba slučaja u trenutku nastanka osiguranog slučaja (u slučaju uništenja ili oštećenja) u kojem se utvrdi da je nova vrijednost ili stvarna vrijednost predmeta osiguranja veća od knjigovodstvene nabavne vrijednosti ili procijenjene vrijednosti, </w:t>
      </w:r>
      <w:proofErr w:type="spellStart"/>
      <w:r w:rsidRPr="00D270CD">
        <w:rPr>
          <w:rFonts w:ascii="Calibri" w:eastAsia="Calibri" w:hAnsi="Calibri" w:cs="Calibri"/>
        </w:rPr>
        <w:t>osigurateljna</w:t>
      </w:r>
      <w:proofErr w:type="spellEnd"/>
      <w:r w:rsidRPr="00D270CD">
        <w:rPr>
          <w:rFonts w:ascii="Calibri" w:eastAsia="Calibri" w:hAnsi="Calibri" w:cs="Calibri"/>
        </w:rPr>
        <w:t xml:space="preserve"> obveza se uvećava za 20% u odnosu na definiranu knjigovodstvenu nabavnu vrijednost ili procijenjenu vrijednost a koja je navedena u dokumentaciji kao osnovica za izračun premije osiguranja, ali ne više od ukupne gornje granice </w:t>
      </w:r>
      <w:proofErr w:type="spellStart"/>
      <w:r w:rsidRPr="00D270CD">
        <w:rPr>
          <w:rFonts w:ascii="Calibri" w:eastAsia="Calibri" w:hAnsi="Calibri" w:cs="Calibri"/>
        </w:rPr>
        <w:t>osigurateljne</w:t>
      </w:r>
      <w:proofErr w:type="spellEnd"/>
      <w:r w:rsidRPr="00D270CD">
        <w:rPr>
          <w:rFonts w:ascii="Calibri" w:eastAsia="Calibri" w:hAnsi="Calibri" w:cs="Calibri"/>
        </w:rPr>
        <w:t xml:space="preserve"> obveze prema </w:t>
      </w:r>
      <w:r w:rsidR="005C1821">
        <w:rPr>
          <w:rFonts w:ascii="Calibri" w:eastAsia="Calibri" w:hAnsi="Calibri" w:cs="Calibri"/>
        </w:rPr>
        <w:t>P</w:t>
      </w:r>
      <w:r w:rsidRPr="00D270CD">
        <w:rPr>
          <w:rFonts w:ascii="Calibri" w:eastAsia="Calibri" w:hAnsi="Calibri" w:cs="Calibri"/>
        </w:rPr>
        <w:t xml:space="preserve">rivitku br. </w:t>
      </w:r>
      <w:r w:rsidR="00336F50">
        <w:rPr>
          <w:rFonts w:ascii="Calibri" w:eastAsia="Calibri" w:hAnsi="Calibri" w:cs="Calibri"/>
        </w:rPr>
        <w:t>1</w:t>
      </w:r>
      <w:r w:rsidRPr="00D270CD">
        <w:rPr>
          <w:rFonts w:ascii="Calibri" w:eastAsia="Calibri" w:hAnsi="Calibri" w:cs="Calibri"/>
        </w:rPr>
        <w:t>.</w:t>
      </w:r>
    </w:p>
    <w:p w:rsidR="002A0C1A" w:rsidRPr="005100F6" w:rsidRDefault="002A0C1A" w:rsidP="00664E7E">
      <w:pPr>
        <w:pStyle w:val="Odlomakpopisa"/>
        <w:spacing w:line="360" w:lineRule="auto"/>
        <w:ind w:left="426"/>
        <w:jc w:val="both"/>
        <w:rPr>
          <w:rFonts w:cstheme="minorHAnsi"/>
          <w:szCs w:val="20"/>
        </w:rPr>
      </w:pPr>
    </w:p>
    <w:p w:rsidR="002A0C1A" w:rsidRPr="005100F6" w:rsidRDefault="002A0C1A" w:rsidP="00664E7E">
      <w:pPr>
        <w:pStyle w:val="Odlomakpopisa"/>
        <w:spacing w:line="360" w:lineRule="auto"/>
        <w:ind w:left="426"/>
        <w:jc w:val="both"/>
        <w:rPr>
          <w:rFonts w:cstheme="minorHAnsi"/>
          <w:szCs w:val="20"/>
        </w:rPr>
      </w:pPr>
    </w:p>
    <w:p w:rsidR="00664E7E" w:rsidRPr="005100F6" w:rsidRDefault="00664E7E" w:rsidP="00664E7E">
      <w:pPr>
        <w:spacing w:line="360" w:lineRule="auto"/>
        <w:jc w:val="both"/>
        <w:rPr>
          <w:rFonts w:cstheme="minorHAnsi"/>
          <w:color w:val="000000"/>
          <w:szCs w:val="20"/>
        </w:rPr>
      </w:pPr>
    </w:p>
    <w:p w:rsidR="00664E7E" w:rsidRPr="005100F6" w:rsidRDefault="00664E7E" w:rsidP="00664E7E">
      <w:pPr>
        <w:spacing w:line="360" w:lineRule="auto"/>
        <w:jc w:val="both"/>
        <w:rPr>
          <w:rFonts w:cstheme="minorHAnsi"/>
          <w:color w:val="000000"/>
          <w:szCs w:val="20"/>
        </w:rPr>
      </w:pPr>
    </w:p>
    <w:p w:rsidR="00EA6663" w:rsidRPr="005100F6" w:rsidRDefault="00EA6663" w:rsidP="00F61E5E">
      <w:pPr>
        <w:pStyle w:val="Bezproreda"/>
        <w:rPr>
          <w:rFonts w:cstheme="minorHAnsi"/>
          <w:color w:val="000000"/>
          <w:sz w:val="24"/>
        </w:rPr>
      </w:pPr>
    </w:p>
    <w:sectPr w:rsidR="00EA6663" w:rsidRPr="005100F6" w:rsidSect="005C1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96" w:rsidRDefault="00354596" w:rsidP="00385987">
      <w:pPr>
        <w:spacing w:after="0" w:line="240" w:lineRule="auto"/>
      </w:pPr>
      <w:r>
        <w:separator/>
      </w:r>
    </w:p>
  </w:endnote>
  <w:endnote w:type="continuationSeparator" w:id="0">
    <w:p w:rsidR="00354596" w:rsidRDefault="00354596" w:rsidP="0038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balin Graph">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661243"/>
      <w:docPartObj>
        <w:docPartGallery w:val="Page Numbers (Bottom of Page)"/>
        <w:docPartUnique/>
      </w:docPartObj>
    </w:sdtPr>
    <w:sdtEndPr/>
    <w:sdtContent>
      <w:p w:rsidR="00D9593A" w:rsidRDefault="00D9593A">
        <w:pPr>
          <w:pStyle w:val="Podnoje"/>
          <w:jc w:val="right"/>
        </w:pPr>
        <w:r>
          <w:fldChar w:fldCharType="begin"/>
        </w:r>
        <w:r>
          <w:instrText>PAGE   \* MERGEFORMAT</w:instrText>
        </w:r>
        <w:r>
          <w:fldChar w:fldCharType="separate"/>
        </w:r>
        <w:r w:rsidR="00D90366">
          <w:rPr>
            <w:noProof/>
          </w:rPr>
          <w:t>2</w:t>
        </w:r>
        <w:r>
          <w:fldChar w:fldCharType="end"/>
        </w:r>
      </w:p>
    </w:sdtContent>
  </w:sdt>
  <w:p w:rsidR="00D9593A" w:rsidRDefault="00D9593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96" w:rsidRDefault="00354596" w:rsidP="00385987">
      <w:pPr>
        <w:spacing w:after="0" w:line="240" w:lineRule="auto"/>
      </w:pPr>
      <w:r>
        <w:separator/>
      </w:r>
    </w:p>
  </w:footnote>
  <w:footnote w:type="continuationSeparator" w:id="0">
    <w:p w:rsidR="00354596" w:rsidRDefault="00354596" w:rsidP="0038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Naslov"/>
      <w:id w:val="77738743"/>
      <w:placeholder>
        <w:docPart w:val="CEBB8A6F457A4051AF42A9CEB669CD76"/>
      </w:placeholder>
      <w:dataBinding w:prefixMappings="xmlns:ns0='http://schemas.openxmlformats.org/package/2006/metadata/core-properties' xmlns:ns1='http://purl.org/dc/elements/1.1/'" w:xpath="/ns0:coreProperties[1]/ns1:title[1]" w:storeItemID="{6C3C8BC8-F283-45AE-878A-BAB7291924A1}"/>
      <w:text/>
    </w:sdtPr>
    <w:sdtEndPr/>
    <w:sdtContent>
      <w:p w:rsidR="00D9593A" w:rsidRDefault="00664E7E">
        <w:pPr>
          <w:pStyle w:val="Zaglavlj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PRIVITAK</w:t>
        </w:r>
        <w:r w:rsidR="00336F5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w:t>
        </w:r>
        <w:r w:rsidR="00336F50">
          <w:rPr>
            <w:rFonts w:asciiTheme="majorHAnsi" w:eastAsiaTheme="majorEastAsia" w:hAnsiTheme="majorHAnsi" w:cstheme="majorBidi"/>
            <w:sz w:val="32"/>
            <w:szCs w:val="32"/>
          </w:rPr>
          <w:t xml:space="preserve"> 3 </w:t>
        </w:r>
        <w:r w:rsidR="00D9593A">
          <w:rPr>
            <w:rFonts w:asciiTheme="majorHAnsi" w:eastAsiaTheme="majorEastAsia" w:hAnsiTheme="majorHAnsi" w:cstheme="majorBidi"/>
            <w:sz w:val="32"/>
            <w:szCs w:val="32"/>
          </w:rPr>
          <w:t>-Tehnička specifikacija</w:t>
        </w:r>
      </w:p>
    </w:sdtContent>
  </w:sdt>
  <w:p w:rsidR="00D9593A" w:rsidRDefault="00D9593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CDB6"/>
      </v:shape>
    </w:pict>
  </w:numPicBullet>
  <w:abstractNum w:abstractNumId="0" w15:restartNumberingAfterBreak="0">
    <w:nsid w:val="00EA3E4F"/>
    <w:multiLevelType w:val="hybridMultilevel"/>
    <w:tmpl w:val="41D87D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F3A68C6"/>
    <w:multiLevelType w:val="hybridMultilevel"/>
    <w:tmpl w:val="A8043D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8353AA"/>
    <w:multiLevelType w:val="hybridMultilevel"/>
    <w:tmpl w:val="52A883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FD7C55"/>
    <w:multiLevelType w:val="hybridMultilevel"/>
    <w:tmpl w:val="B48601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291DB3"/>
    <w:multiLevelType w:val="hybridMultilevel"/>
    <w:tmpl w:val="F112E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58707E4"/>
    <w:multiLevelType w:val="hybridMultilevel"/>
    <w:tmpl w:val="485C7796"/>
    <w:lvl w:ilvl="0" w:tplc="8E34D0A0">
      <w:start w:val="1"/>
      <w:numFmt w:val="decimal"/>
      <w:lvlText w:val="%1."/>
      <w:lvlJc w:val="left"/>
      <w:pPr>
        <w:ind w:left="644" w:hanging="360"/>
      </w:pPr>
      <w:rPr>
        <w:rFonts w:asciiTheme="minorHAnsi" w:eastAsiaTheme="minorHAnsi" w:hAnsiTheme="minorHAnsi" w:cstheme="minorBidi"/>
      </w:rPr>
    </w:lvl>
    <w:lvl w:ilvl="1" w:tplc="041A0017">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007545"/>
    <w:multiLevelType w:val="hybridMultilevel"/>
    <w:tmpl w:val="63367370"/>
    <w:lvl w:ilvl="0" w:tplc="793EAB9E">
      <w:start w:val="1"/>
      <w:numFmt w:val="bullet"/>
      <w:lvlText w:val=""/>
      <w:lvlJc w:val="left"/>
      <w:pPr>
        <w:ind w:left="654" w:hanging="360"/>
      </w:pPr>
      <w:rPr>
        <w:rFonts w:ascii="Symbol" w:hAnsi="Symbol" w:hint="default"/>
        <w:color w:val="auto"/>
      </w:rPr>
    </w:lvl>
    <w:lvl w:ilvl="1" w:tplc="041A0003" w:tentative="1">
      <w:start w:val="1"/>
      <w:numFmt w:val="bullet"/>
      <w:lvlText w:val="o"/>
      <w:lvlJc w:val="left"/>
      <w:pPr>
        <w:ind w:left="1374" w:hanging="360"/>
      </w:pPr>
      <w:rPr>
        <w:rFonts w:ascii="Courier New" w:hAnsi="Courier New" w:cs="Courier New" w:hint="default"/>
      </w:rPr>
    </w:lvl>
    <w:lvl w:ilvl="2" w:tplc="041A0005" w:tentative="1">
      <w:start w:val="1"/>
      <w:numFmt w:val="bullet"/>
      <w:lvlText w:val=""/>
      <w:lvlJc w:val="left"/>
      <w:pPr>
        <w:ind w:left="2094" w:hanging="360"/>
      </w:pPr>
      <w:rPr>
        <w:rFonts w:ascii="Wingdings" w:hAnsi="Wingdings" w:hint="default"/>
      </w:rPr>
    </w:lvl>
    <w:lvl w:ilvl="3" w:tplc="041A0001" w:tentative="1">
      <w:start w:val="1"/>
      <w:numFmt w:val="bullet"/>
      <w:lvlText w:val=""/>
      <w:lvlJc w:val="left"/>
      <w:pPr>
        <w:ind w:left="2814" w:hanging="360"/>
      </w:pPr>
      <w:rPr>
        <w:rFonts w:ascii="Symbol" w:hAnsi="Symbol" w:hint="default"/>
      </w:rPr>
    </w:lvl>
    <w:lvl w:ilvl="4" w:tplc="041A0003" w:tentative="1">
      <w:start w:val="1"/>
      <w:numFmt w:val="bullet"/>
      <w:lvlText w:val="o"/>
      <w:lvlJc w:val="left"/>
      <w:pPr>
        <w:ind w:left="3534" w:hanging="360"/>
      </w:pPr>
      <w:rPr>
        <w:rFonts w:ascii="Courier New" w:hAnsi="Courier New" w:cs="Courier New" w:hint="default"/>
      </w:rPr>
    </w:lvl>
    <w:lvl w:ilvl="5" w:tplc="041A0005" w:tentative="1">
      <w:start w:val="1"/>
      <w:numFmt w:val="bullet"/>
      <w:lvlText w:val=""/>
      <w:lvlJc w:val="left"/>
      <w:pPr>
        <w:ind w:left="4254" w:hanging="360"/>
      </w:pPr>
      <w:rPr>
        <w:rFonts w:ascii="Wingdings" w:hAnsi="Wingdings" w:hint="default"/>
      </w:rPr>
    </w:lvl>
    <w:lvl w:ilvl="6" w:tplc="041A0001" w:tentative="1">
      <w:start w:val="1"/>
      <w:numFmt w:val="bullet"/>
      <w:lvlText w:val=""/>
      <w:lvlJc w:val="left"/>
      <w:pPr>
        <w:ind w:left="4974" w:hanging="360"/>
      </w:pPr>
      <w:rPr>
        <w:rFonts w:ascii="Symbol" w:hAnsi="Symbol" w:hint="default"/>
      </w:rPr>
    </w:lvl>
    <w:lvl w:ilvl="7" w:tplc="041A0003" w:tentative="1">
      <w:start w:val="1"/>
      <w:numFmt w:val="bullet"/>
      <w:lvlText w:val="o"/>
      <w:lvlJc w:val="left"/>
      <w:pPr>
        <w:ind w:left="5694" w:hanging="360"/>
      </w:pPr>
      <w:rPr>
        <w:rFonts w:ascii="Courier New" w:hAnsi="Courier New" w:cs="Courier New" w:hint="default"/>
      </w:rPr>
    </w:lvl>
    <w:lvl w:ilvl="8" w:tplc="041A0005" w:tentative="1">
      <w:start w:val="1"/>
      <w:numFmt w:val="bullet"/>
      <w:lvlText w:val=""/>
      <w:lvlJc w:val="left"/>
      <w:pPr>
        <w:ind w:left="6414" w:hanging="360"/>
      </w:pPr>
      <w:rPr>
        <w:rFonts w:ascii="Wingdings" w:hAnsi="Wingdings" w:hint="default"/>
      </w:rPr>
    </w:lvl>
  </w:abstractNum>
  <w:abstractNum w:abstractNumId="7" w15:restartNumberingAfterBreak="0">
    <w:nsid w:val="217C4474"/>
    <w:multiLevelType w:val="hybridMultilevel"/>
    <w:tmpl w:val="0C0ED4D4"/>
    <w:lvl w:ilvl="0" w:tplc="EB3C0B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7EA6CDE"/>
    <w:multiLevelType w:val="hybridMultilevel"/>
    <w:tmpl w:val="AA2AA70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9" w15:restartNumberingAfterBreak="0">
    <w:nsid w:val="286F56CB"/>
    <w:multiLevelType w:val="hybridMultilevel"/>
    <w:tmpl w:val="CA3E38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391363"/>
    <w:multiLevelType w:val="hybridMultilevel"/>
    <w:tmpl w:val="9C60B96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AD0AEC"/>
    <w:multiLevelType w:val="hybridMultilevel"/>
    <w:tmpl w:val="29A2A4D8"/>
    <w:lvl w:ilvl="0" w:tplc="0409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DD1DD4"/>
    <w:multiLevelType w:val="hybridMultilevel"/>
    <w:tmpl w:val="2E56E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780D1F"/>
    <w:multiLevelType w:val="hybridMultilevel"/>
    <w:tmpl w:val="1018D69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41DB25AD"/>
    <w:multiLevelType w:val="hybridMultilevel"/>
    <w:tmpl w:val="83F61444"/>
    <w:lvl w:ilvl="0" w:tplc="041A000B">
      <w:start w:val="1"/>
      <w:numFmt w:val="bullet"/>
      <w:lvlText w:val=""/>
      <w:lvlJc w:val="left"/>
      <w:pPr>
        <w:ind w:left="1776" w:hanging="360"/>
      </w:pPr>
      <w:rPr>
        <w:rFonts w:ascii="Wingdings" w:hAnsi="Wingdings"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5" w15:restartNumberingAfterBreak="0">
    <w:nsid w:val="463A71BE"/>
    <w:multiLevelType w:val="hybridMultilevel"/>
    <w:tmpl w:val="B7002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072DC1"/>
    <w:multiLevelType w:val="hybridMultilevel"/>
    <w:tmpl w:val="AEEAF3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03058A"/>
    <w:multiLevelType w:val="hybridMultilevel"/>
    <w:tmpl w:val="58E0E58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B0E7BC3"/>
    <w:multiLevelType w:val="hybridMultilevel"/>
    <w:tmpl w:val="7734867A"/>
    <w:lvl w:ilvl="0" w:tplc="CCEC242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62051EB2"/>
    <w:multiLevelType w:val="hybridMultilevel"/>
    <w:tmpl w:val="9BCEDD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FF53F4"/>
    <w:multiLevelType w:val="hybridMultilevel"/>
    <w:tmpl w:val="8D0204A0"/>
    <w:lvl w:ilvl="0" w:tplc="5FDC052A">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1" w15:restartNumberingAfterBreak="0">
    <w:nsid w:val="66790FA6"/>
    <w:multiLevelType w:val="multilevel"/>
    <w:tmpl w:val="B8FAC760"/>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BF27DA5"/>
    <w:multiLevelType w:val="hybridMultilevel"/>
    <w:tmpl w:val="36F49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A52E4C"/>
    <w:multiLevelType w:val="hybridMultilevel"/>
    <w:tmpl w:val="215292CA"/>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4" w15:restartNumberingAfterBreak="0">
    <w:nsid w:val="6F7F395D"/>
    <w:multiLevelType w:val="hybridMultilevel"/>
    <w:tmpl w:val="BF86243C"/>
    <w:lvl w:ilvl="0" w:tplc="041A0001">
      <w:start w:val="1"/>
      <w:numFmt w:val="bullet"/>
      <w:lvlText w:val=""/>
      <w:lvlJc w:val="left"/>
      <w:pPr>
        <w:ind w:left="720" w:hanging="360"/>
      </w:pPr>
      <w:rPr>
        <w:rFonts w:ascii="Symbol" w:hAnsi="Symbol" w:hint="default"/>
      </w:rPr>
    </w:lvl>
    <w:lvl w:ilvl="1" w:tplc="78DAC7A6">
      <w:start w:val="1"/>
      <w:numFmt w:val="bullet"/>
      <w:lvlText w:val="•"/>
      <w:lvlJc w:val="left"/>
      <w:pPr>
        <w:ind w:left="1800" w:hanging="72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2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9"/>
  </w:num>
  <w:num w:numId="9">
    <w:abstractNumId w:val="22"/>
  </w:num>
  <w:num w:numId="10">
    <w:abstractNumId w:val="24"/>
  </w:num>
  <w:num w:numId="11">
    <w:abstractNumId w:val="1"/>
  </w:num>
  <w:num w:numId="12">
    <w:abstractNumId w:val="11"/>
  </w:num>
  <w:num w:numId="13">
    <w:abstractNumId w:val="9"/>
  </w:num>
  <w:num w:numId="14">
    <w:abstractNumId w:val="18"/>
  </w:num>
  <w:num w:numId="15">
    <w:abstractNumId w:val="8"/>
  </w:num>
  <w:num w:numId="16">
    <w:abstractNumId w:val="2"/>
  </w:num>
  <w:num w:numId="17">
    <w:abstractNumId w:val="3"/>
  </w:num>
  <w:num w:numId="18">
    <w:abstractNumId w:val="10"/>
  </w:num>
  <w:num w:numId="19">
    <w:abstractNumId w:val="16"/>
  </w:num>
  <w:num w:numId="20">
    <w:abstractNumId w:val="23"/>
  </w:num>
  <w:num w:numId="21">
    <w:abstractNumId w:val="14"/>
  </w:num>
  <w:num w:numId="22">
    <w:abstractNumId w:val="6"/>
  </w:num>
  <w:num w:numId="23">
    <w:abstractNumId w:val="4"/>
  </w:num>
  <w:num w:numId="24">
    <w:abstractNumId w:val="17"/>
  </w:num>
  <w:num w:numId="25">
    <w:abstractNumId w:val="13"/>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06"/>
    <w:rsid w:val="000177CF"/>
    <w:rsid w:val="00022984"/>
    <w:rsid w:val="00052743"/>
    <w:rsid w:val="000528A5"/>
    <w:rsid w:val="00072AD6"/>
    <w:rsid w:val="00087A0F"/>
    <w:rsid w:val="0009399A"/>
    <w:rsid w:val="0009611D"/>
    <w:rsid w:val="000975E5"/>
    <w:rsid w:val="000B4186"/>
    <w:rsid w:val="000B50CF"/>
    <w:rsid w:val="000C2C38"/>
    <w:rsid w:val="000E02D5"/>
    <w:rsid w:val="000F0A4B"/>
    <w:rsid w:val="000F4D51"/>
    <w:rsid w:val="000F6B42"/>
    <w:rsid w:val="00102FFE"/>
    <w:rsid w:val="00106B53"/>
    <w:rsid w:val="001129D0"/>
    <w:rsid w:val="00124B4A"/>
    <w:rsid w:val="00124E99"/>
    <w:rsid w:val="001331E1"/>
    <w:rsid w:val="0013706B"/>
    <w:rsid w:val="00145AC4"/>
    <w:rsid w:val="00147B00"/>
    <w:rsid w:val="00150033"/>
    <w:rsid w:val="00154A28"/>
    <w:rsid w:val="00160FAB"/>
    <w:rsid w:val="0016730C"/>
    <w:rsid w:val="001910FD"/>
    <w:rsid w:val="001B0306"/>
    <w:rsid w:val="001B030D"/>
    <w:rsid w:val="001B7CE9"/>
    <w:rsid w:val="001C3DEF"/>
    <w:rsid w:val="001C54F1"/>
    <w:rsid w:val="001D3941"/>
    <w:rsid w:val="001D74F0"/>
    <w:rsid w:val="001E202C"/>
    <w:rsid w:val="0020726C"/>
    <w:rsid w:val="0021692E"/>
    <w:rsid w:val="00220074"/>
    <w:rsid w:val="002272DF"/>
    <w:rsid w:val="0024095D"/>
    <w:rsid w:val="00253F84"/>
    <w:rsid w:val="0026323D"/>
    <w:rsid w:val="00266D81"/>
    <w:rsid w:val="002829FD"/>
    <w:rsid w:val="002A0C1A"/>
    <w:rsid w:val="002A271A"/>
    <w:rsid w:val="002A3A47"/>
    <w:rsid w:val="002C4D35"/>
    <w:rsid w:val="002D3FC3"/>
    <w:rsid w:val="002E0B4E"/>
    <w:rsid w:val="002E1940"/>
    <w:rsid w:val="002E5C70"/>
    <w:rsid w:val="00303BA4"/>
    <w:rsid w:val="0030565E"/>
    <w:rsid w:val="0032141D"/>
    <w:rsid w:val="00325100"/>
    <w:rsid w:val="003307E4"/>
    <w:rsid w:val="00336BD0"/>
    <w:rsid w:val="00336F50"/>
    <w:rsid w:val="003373CC"/>
    <w:rsid w:val="00341710"/>
    <w:rsid w:val="00342ED1"/>
    <w:rsid w:val="00343DB6"/>
    <w:rsid w:val="0035173F"/>
    <w:rsid w:val="00351EE1"/>
    <w:rsid w:val="003530C8"/>
    <w:rsid w:val="00354596"/>
    <w:rsid w:val="00354750"/>
    <w:rsid w:val="00355B61"/>
    <w:rsid w:val="00363DBC"/>
    <w:rsid w:val="003728F5"/>
    <w:rsid w:val="00375A63"/>
    <w:rsid w:val="00380973"/>
    <w:rsid w:val="003836E7"/>
    <w:rsid w:val="00385987"/>
    <w:rsid w:val="00386D49"/>
    <w:rsid w:val="003973BC"/>
    <w:rsid w:val="003A0276"/>
    <w:rsid w:val="003A6B5C"/>
    <w:rsid w:val="003B3339"/>
    <w:rsid w:val="003B41EF"/>
    <w:rsid w:val="003D3B46"/>
    <w:rsid w:val="003F2512"/>
    <w:rsid w:val="0040471F"/>
    <w:rsid w:val="00416597"/>
    <w:rsid w:val="00463080"/>
    <w:rsid w:val="00466D0C"/>
    <w:rsid w:val="00473591"/>
    <w:rsid w:val="0047635B"/>
    <w:rsid w:val="004918C7"/>
    <w:rsid w:val="00492F56"/>
    <w:rsid w:val="00495E1D"/>
    <w:rsid w:val="004B3E91"/>
    <w:rsid w:val="004C0915"/>
    <w:rsid w:val="005100F6"/>
    <w:rsid w:val="00517F05"/>
    <w:rsid w:val="00541780"/>
    <w:rsid w:val="00564365"/>
    <w:rsid w:val="00574626"/>
    <w:rsid w:val="005760E1"/>
    <w:rsid w:val="00581EA3"/>
    <w:rsid w:val="0058230C"/>
    <w:rsid w:val="00583472"/>
    <w:rsid w:val="00584061"/>
    <w:rsid w:val="00592D6B"/>
    <w:rsid w:val="005A19D0"/>
    <w:rsid w:val="005A4CAE"/>
    <w:rsid w:val="005A5C00"/>
    <w:rsid w:val="005B218D"/>
    <w:rsid w:val="005B34B0"/>
    <w:rsid w:val="005C1821"/>
    <w:rsid w:val="005C5F9F"/>
    <w:rsid w:val="005D7312"/>
    <w:rsid w:val="005E3152"/>
    <w:rsid w:val="005E3F3C"/>
    <w:rsid w:val="005F00F9"/>
    <w:rsid w:val="005F258E"/>
    <w:rsid w:val="00602065"/>
    <w:rsid w:val="006254E3"/>
    <w:rsid w:val="006319A6"/>
    <w:rsid w:val="0065051F"/>
    <w:rsid w:val="00655546"/>
    <w:rsid w:val="00664E7E"/>
    <w:rsid w:val="00667184"/>
    <w:rsid w:val="006770BA"/>
    <w:rsid w:val="006864D2"/>
    <w:rsid w:val="00693532"/>
    <w:rsid w:val="0069731B"/>
    <w:rsid w:val="006A60E6"/>
    <w:rsid w:val="006C1A53"/>
    <w:rsid w:val="006C2EF4"/>
    <w:rsid w:val="006F2477"/>
    <w:rsid w:val="006F24CA"/>
    <w:rsid w:val="007134CA"/>
    <w:rsid w:val="00714CFF"/>
    <w:rsid w:val="0075086F"/>
    <w:rsid w:val="0075420B"/>
    <w:rsid w:val="007740A6"/>
    <w:rsid w:val="00786CCC"/>
    <w:rsid w:val="00787198"/>
    <w:rsid w:val="007907CE"/>
    <w:rsid w:val="00795BD1"/>
    <w:rsid w:val="00796AD7"/>
    <w:rsid w:val="007A4F8E"/>
    <w:rsid w:val="007B6171"/>
    <w:rsid w:val="00800892"/>
    <w:rsid w:val="008008C0"/>
    <w:rsid w:val="00804E13"/>
    <w:rsid w:val="00812621"/>
    <w:rsid w:val="00831D25"/>
    <w:rsid w:val="00845E6B"/>
    <w:rsid w:val="008748A6"/>
    <w:rsid w:val="00880818"/>
    <w:rsid w:val="008B6518"/>
    <w:rsid w:val="008C6223"/>
    <w:rsid w:val="008D0634"/>
    <w:rsid w:val="008F0714"/>
    <w:rsid w:val="008F33BB"/>
    <w:rsid w:val="00906595"/>
    <w:rsid w:val="0091241F"/>
    <w:rsid w:val="00915F52"/>
    <w:rsid w:val="009401F6"/>
    <w:rsid w:val="009654B5"/>
    <w:rsid w:val="00977742"/>
    <w:rsid w:val="00980FBC"/>
    <w:rsid w:val="009822F3"/>
    <w:rsid w:val="009A7A78"/>
    <w:rsid w:val="009A7FDB"/>
    <w:rsid w:val="009C5F64"/>
    <w:rsid w:val="009E1BBF"/>
    <w:rsid w:val="009E764F"/>
    <w:rsid w:val="009F1A5F"/>
    <w:rsid w:val="00A04A89"/>
    <w:rsid w:val="00A10481"/>
    <w:rsid w:val="00A1380A"/>
    <w:rsid w:val="00A144DE"/>
    <w:rsid w:val="00A45466"/>
    <w:rsid w:val="00A53327"/>
    <w:rsid w:val="00A82855"/>
    <w:rsid w:val="00A8740B"/>
    <w:rsid w:val="00AA7939"/>
    <w:rsid w:val="00AB0CEA"/>
    <w:rsid w:val="00AD71FD"/>
    <w:rsid w:val="00AE1B20"/>
    <w:rsid w:val="00B14863"/>
    <w:rsid w:val="00B15903"/>
    <w:rsid w:val="00B23520"/>
    <w:rsid w:val="00B24D76"/>
    <w:rsid w:val="00B30DDC"/>
    <w:rsid w:val="00B5482D"/>
    <w:rsid w:val="00B5620B"/>
    <w:rsid w:val="00B820A6"/>
    <w:rsid w:val="00B874BA"/>
    <w:rsid w:val="00B97C36"/>
    <w:rsid w:val="00BB42EA"/>
    <w:rsid w:val="00BB630C"/>
    <w:rsid w:val="00BC2C52"/>
    <w:rsid w:val="00BC408A"/>
    <w:rsid w:val="00BC5F59"/>
    <w:rsid w:val="00BE0251"/>
    <w:rsid w:val="00BE12E1"/>
    <w:rsid w:val="00BF164A"/>
    <w:rsid w:val="00BF31BE"/>
    <w:rsid w:val="00C058BD"/>
    <w:rsid w:val="00C11113"/>
    <w:rsid w:val="00C1279E"/>
    <w:rsid w:val="00C201C8"/>
    <w:rsid w:val="00C27D02"/>
    <w:rsid w:val="00C30953"/>
    <w:rsid w:val="00C432DF"/>
    <w:rsid w:val="00C4392A"/>
    <w:rsid w:val="00C800DE"/>
    <w:rsid w:val="00CA108F"/>
    <w:rsid w:val="00CC2390"/>
    <w:rsid w:val="00CC2E02"/>
    <w:rsid w:val="00CD1A18"/>
    <w:rsid w:val="00CD420D"/>
    <w:rsid w:val="00CE40E1"/>
    <w:rsid w:val="00CF5493"/>
    <w:rsid w:val="00D1038C"/>
    <w:rsid w:val="00D15477"/>
    <w:rsid w:val="00D246CF"/>
    <w:rsid w:val="00D270CD"/>
    <w:rsid w:val="00D404F8"/>
    <w:rsid w:val="00D41331"/>
    <w:rsid w:val="00D57B36"/>
    <w:rsid w:val="00D62A34"/>
    <w:rsid w:val="00D72597"/>
    <w:rsid w:val="00D81884"/>
    <w:rsid w:val="00D84D3B"/>
    <w:rsid w:val="00D857D1"/>
    <w:rsid w:val="00D870BC"/>
    <w:rsid w:val="00D90366"/>
    <w:rsid w:val="00D9593A"/>
    <w:rsid w:val="00D9728B"/>
    <w:rsid w:val="00DA3B3F"/>
    <w:rsid w:val="00DA4BED"/>
    <w:rsid w:val="00E10058"/>
    <w:rsid w:val="00E10607"/>
    <w:rsid w:val="00E30FA6"/>
    <w:rsid w:val="00E358C4"/>
    <w:rsid w:val="00E363D9"/>
    <w:rsid w:val="00E40B70"/>
    <w:rsid w:val="00E531EC"/>
    <w:rsid w:val="00E55439"/>
    <w:rsid w:val="00E60AE9"/>
    <w:rsid w:val="00E61004"/>
    <w:rsid w:val="00E931DC"/>
    <w:rsid w:val="00EA226C"/>
    <w:rsid w:val="00EA6663"/>
    <w:rsid w:val="00EB364C"/>
    <w:rsid w:val="00EC1834"/>
    <w:rsid w:val="00EC2AE6"/>
    <w:rsid w:val="00EE7FF2"/>
    <w:rsid w:val="00EF0CE9"/>
    <w:rsid w:val="00EF4930"/>
    <w:rsid w:val="00F041F8"/>
    <w:rsid w:val="00F07181"/>
    <w:rsid w:val="00F1336E"/>
    <w:rsid w:val="00F15CAB"/>
    <w:rsid w:val="00F22152"/>
    <w:rsid w:val="00F247AF"/>
    <w:rsid w:val="00F24D3E"/>
    <w:rsid w:val="00F45CEC"/>
    <w:rsid w:val="00F46530"/>
    <w:rsid w:val="00F579D9"/>
    <w:rsid w:val="00F6142A"/>
    <w:rsid w:val="00F61E5E"/>
    <w:rsid w:val="00F7053C"/>
    <w:rsid w:val="00F74F06"/>
    <w:rsid w:val="00F85432"/>
    <w:rsid w:val="00FB2779"/>
    <w:rsid w:val="00FB4902"/>
    <w:rsid w:val="00FB6508"/>
    <w:rsid w:val="00FC3EF6"/>
    <w:rsid w:val="00FE3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AE65F-56CB-4F08-AF9B-4524D875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aliases w:val="H2,H21,Heading 2a,Numbered - 2,h 3,Reset numbering,h 4,PA Major Section,Boris"/>
    <w:basedOn w:val="Normal"/>
    <w:next w:val="Normal"/>
    <w:link w:val="Naslov2Char"/>
    <w:uiPriority w:val="9"/>
    <w:qFormat/>
    <w:rsid w:val="00E531EC"/>
    <w:pPr>
      <w:keepNext/>
      <w:numPr>
        <w:numId w:val="4"/>
      </w:numPr>
      <w:spacing w:after="0" w:line="240" w:lineRule="auto"/>
      <w:outlineLvl w:val="1"/>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
    <w:basedOn w:val="Normal"/>
    <w:link w:val="OdlomakpopisaChar"/>
    <w:uiPriority w:val="34"/>
    <w:qFormat/>
    <w:rsid w:val="001B0306"/>
    <w:pPr>
      <w:ind w:left="720"/>
      <w:contextualSpacing/>
    </w:pPr>
  </w:style>
  <w:style w:type="character" w:styleId="Istaknuto">
    <w:name w:val="Emphasis"/>
    <w:basedOn w:val="Zadanifontodlomka"/>
    <w:uiPriority w:val="20"/>
    <w:qFormat/>
    <w:rsid w:val="00602065"/>
    <w:rPr>
      <w:i/>
      <w:iCs/>
    </w:rPr>
  </w:style>
  <w:style w:type="character" w:customStyle="1" w:styleId="apple-converted-space">
    <w:name w:val="apple-converted-space"/>
    <w:basedOn w:val="Zadanifontodlomka"/>
    <w:rsid w:val="00602065"/>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E531EC"/>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E5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E531E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E531EC"/>
    <w:rPr>
      <w:rFonts w:ascii="Tahoma" w:eastAsia="Times New Roman" w:hAnsi="Tahoma" w:cs="Tahoma"/>
      <w:sz w:val="16"/>
      <w:szCs w:val="16"/>
      <w:lang w:eastAsia="hr-HR"/>
    </w:rPr>
  </w:style>
  <w:style w:type="paragraph" w:styleId="Zaglavlje">
    <w:name w:val="header"/>
    <w:basedOn w:val="Normal"/>
    <w:link w:val="ZaglavljeChar"/>
    <w:uiPriority w:val="99"/>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rsid w:val="00E531EC"/>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PodnojeChar">
    <w:name w:val="Podnožje Char"/>
    <w:basedOn w:val="Zadanifontodlomka"/>
    <w:link w:val="Podnoje"/>
    <w:uiPriority w:val="99"/>
    <w:rsid w:val="00E531EC"/>
    <w:rPr>
      <w:rFonts w:ascii="Times New Roman" w:eastAsia="Times New Roman" w:hAnsi="Times New Roman" w:cs="Times New Roman"/>
      <w:sz w:val="20"/>
      <w:szCs w:val="20"/>
      <w:lang w:eastAsia="hr-HR"/>
    </w:rPr>
  </w:style>
  <w:style w:type="character" w:styleId="Naglaeno">
    <w:name w:val="Strong"/>
    <w:basedOn w:val="Zadanifontodlomka"/>
    <w:uiPriority w:val="22"/>
    <w:qFormat/>
    <w:rsid w:val="00E531EC"/>
    <w:rPr>
      <w:rFonts w:ascii="Arial" w:hAnsi="Arial" w:cs="Arial" w:hint="default"/>
      <w:b w:val="0"/>
      <w:bCs w:val="0"/>
    </w:rPr>
  </w:style>
  <w:style w:type="paragraph" w:styleId="Tijeloteksta3">
    <w:name w:val="Body Text 3"/>
    <w:basedOn w:val="Normal"/>
    <w:link w:val="Tijeloteksta3Char"/>
    <w:uiPriority w:val="99"/>
    <w:rsid w:val="00E531EC"/>
    <w:pPr>
      <w:spacing w:after="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E531EC"/>
    <w:rPr>
      <w:rFonts w:ascii="Times New Roman" w:eastAsia="Times New Roman" w:hAnsi="Times New Roman" w:cs="Times New Roman"/>
      <w:sz w:val="16"/>
      <w:szCs w:val="16"/>
      <w:lang w:eastAsia="hr-HR"/>
    </w:rPr>
  </w:style>
  <w:style w:type="paragraph" w:styleId="StandardWeb">
    <w:name w:val="Normal (Web)"/>
    <w:basedOn w:val="Normal"/>
    <w:uiPriority w:val="99"/>
    <w:rsid w:val="00E531E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rsid w:val="00E531EC"/>
    <w:pPr>
      <w:spacing w:after="120" w:line="240" w:lineRule="auto"/>
      <w:ind w:left="283"/>
    </w:pPr>
    <w:rPr>
      <w:rFonts w:ascii="Times New Roman" w:eastAsia="Times New Roman" w:hAnsi="Times New Roman" w:cs="Times New Roman"/>
      <w:sz w:val="20"/>
      <w:szCs w:val="20"/>
      <w:lang w:eastAsia="hr-HR"/>
    </w:rPr>
  </w:style>
  <w:style w:type="character" w:customStyle="1" w:styleId="UvuenotijelotekstaChar">
    <w:name w:val="Uvučeno tijelo teksta Char"/>
    <w:basedOn w:val="Zadanifontodlomka"/>
    <w:link w:val="Uvuenotijeloteksta"/>
    <w:uiPriority w:val="99"/>
    <w:rsid w:val="00E531EC"/>
    <w:rPr>
      <w:rFonts w:ascii="Times New Roman" w:eastAsia="Times New Roman" w:hAnsi="Times New Roman" w:cs="Times New Roman"/>
      <w:sz w:val="20"/>
      <w:szCs w:val="20"/>
      <w:lang w:eastAsia="hr-HR"/>
    </w:rPr>
  </w:style>
  <w:style w:type="character" w:customStyle="1" w:styleId="ObinitekstChar">
    <w:name w:val="Obični tekst Char"/>
    <w:aliases w:val="Plain Text Char Char Char"/>
    <w:link w:val="Obinitekst"/>
    <w:locked/>
    <w:rsid w:val="00E531EC"/>
    <w:rPr>
      <w:rFonts w:ascii="Courier New" w:hAnsi="Courier New" w:cs="Courier New"/>
      <w:lang w:eastAsia="hr-HR"/>
    </w:rPr>
  </w:style>
  <w:style w:type="paragraph" w:styleId="Obinitekst">
    <w:name w:val="Plain Text"/>
    <w:aliases w:val="Plain Text Char Char"/>
    <w:basedOn w:val="Normal"/>
    <w:link w:val="ObinitekstChar"/>
    <w:rsid w:val="00E531EC"/>
    <w:pPr>
      <w:spacing w:after="0" w:line="240" w:lineRule="auto"/>
      <w:jc w:val="both"/>
    </w:pPr>
    <w:rPr>
      <w:rFonts w:ascii="Courier New" w:hAnsi="Courier New" w:cs="Courier New"/>
      <w:lang w:eastAsia="hr-HR"/>
    </w:rPr>
  </w:style>
  <w:style w:type="character" w:customStyle="1" w:styleId="PlainTextChar">
    <w:name w:val="Plain Text Char"/>
    <w:basedOn w:val="Zadanifontodlomka"/>
    <w:uiPriority w:val="99"/>
    <w:semiHidden/>
    <w:rsid w:val="00E531EC"/>
    <w:rPr>
      <w:rFonts w:ascii="Consolas" w:hAnsi="Consolas"/>
      <w:sz w:val="21"/>
      <w:szCs w:val="21"/>
    </w:rPr>
  </w:style>
  <w:style w:type="paragraph" w:customStyle="1" w:styleId="polunaslov">
    <w:name w:val="polunaslov"/>
    <w:basedOn w:val="Normal"/>
    <w:rsid w:val="00E531EC"/>
    <w:pPr>
      <w:autoSpaceDE w:val="0"/>
      <w:autoSpaceDN w:val="0"/>
      <w:adjustRightInd w:val="0"/>
      <w:spacing w:after="57" w:line="288" w:lineRule="auto"/>
      <w:ind w:firstLine="227"/>
      <w:jc w:val="center"/>
      <w:textAlignment w:val="center"/>
    </w:pPr>
    <w:rPr>
      <w:rFonts w:ascii="Verdana" w:eastAsia="Times New Roman" w:hAnsi="Verdana" w:cs="Times New Roman"/>
      <w:i/>
      <w:iCs/>
      <w:color w:val="000000"/>
      <w:sz w:val="18"/>
      <w:szCs w:val="18"/>
      <w:lang w:val="en-US"/>
    </w:rPr>
  </w:style>
  <w:style w:type="paragraph" w:customStyle="1" w:styleId="tekst">
    <w:name w:val="tekst"/>
    <w:basedOn w:val="Normal"/>
    <w:rsid w:val="00E531EC"/>
    <w:pPr>
      <w:autoSpaceDE w:val="0"/>
      <w:autoSpaceDN w:val="0"/>
      <w:adjustRightInd w:val="0"/>
      <w:spacing w:after="0" w:line="288" w:lineRule="auto"/>
      <w:ind w:firstLine="227"/>
      <w:jc w:val="both"/>
      <w:textAlignment w:val="center"/>
    </w:pPr>
    <w:rPr>
      <w:rFonts w:ascii="Verdana" w:eastAsia="Times New Roman" w:hAnsi="Verdana" w:cs="Times New Roman"/>
      <w:i/>
      <w:iCs/>
      <w:color w:val="000000"/>
      <w:sz w:val="16"/>
      <w:szCs w:val="16"/>
      <w:lang w:val="en-US"/>
    </w:rPr>
  </w:style>
  <w:style w:type="paragraph" w:customStyle="1" w:styleId="Style2">
    <w:name w:val="Style2"/>
    <w:basedOn w:val="Normal"/>
    <w:rsid w:val="00E531EC"/>
    <w:pPr>
      <w:spacing w:after="0" w:line="252" w:lineRule="exact"/>
      <w:jc w:val="both"/>
    </w:pPr>
    <w:rPr>
      <w:rFonts w:ascii="Arial" w:eastAsia="Times New Roman" w:hAnsi="Arial" w:cs="Arial"/>
      <w:sz w:val="20"/>
      <w:szCs w:val="20"/>
      <w:lang w:val="en-US"/>
    </w:rPr>
  </w:style>
  <w:style w:type="paragraph" w:customStyle="1" w:styleId="Style14">
    <w:name w:val="Style14"/>
    <w:basedOn w:val="Normal"/>
    <w:rsid w:val="00E531EC"/>
    <w:pPr>
      <w:spacing w:after="0" w:line="509" w:lineRule="exact"/>
    </w:pPr>
    <w:rPr>
      <w:rFonts w:ascii="Arial" w:eastAsia="Times New Roman" w:hAnsi="Arial" w:cs="Arial"/>
      <w:sz w:val="20"/>
      <w:szCs w:val="20"/>
      <w:lang w:val="en-US"/>
    </w:rPr>
  </w:style>
  <w:style w:type="paragraph" w:customStyle="1" w:styleId="Style16">
    <w:name w:val="Style16"/>
    <w:basedOn w:val="Normal"/>
    <w:rsid w:val="00E531EC"/>
    <w:pPr>
      <w:spacing w:after="0" w:line="247" w:lineRule="exact"/>
    </w:pPr>
    <w:rPr>
      <w:rFonts w:ascii="Arial" w:eastAsia="Times New Roman" w:hAnsi="Arial" w:cs="Arial"/>
      <w:sz w:val="20"/>
      <w:szCs w:val="20"/>
      <w:lang w:val="en-US"/>
    </w:rPr>
  </w:style>
  <w:style w:type="paragraph" w:customStyle="1" w:styleId="Style8">
    <w:name w:val="Style8"/>
    <w:basedOn w:val="Normal"/>
    <w:rsid w:val="00E531EC"/>
    <w:pPr>
      <w:spacing w:after="0" w:line="253" w:lineRule="exact"/>
      <w:ind w:hanging="206"/>
    </w:pPr>
    <w:rPr>
      <w:rFonts w:ascii="Arial" w:eastAsia="Times New Roman" w:hAnsi="Arial" w:cs="Arial"/>
      <w:sz w:val="20"/>
      <w:szCs w:val="20"/>
      <w:lang w:val="en-US"/>
    </w:rPr>
  </w:style>
  <w:style w:type="character" w:customStyle="1" w:styleId="CharStyle2">
    <w:name w:val="CharStyle2"/>
    <w:rsid w:val="00E531EC"/>
    <w:rPr>
      <w:rFonts w:ascii="Arial" w:eastAsia="Times New Roman" w:hAnsi="Arial" w:cs="Arial"/>
      <w:sz w:val="20"/>
      <w:szCs w:val="20"/>
    </w:rPr>
  </w:style>
  <w:style w:type="paragraph" w:customStyle="1" w:styleId="tekstplus">
    <w:name w:val="tekst plus"/>
    <w:basedOn w:val="tekst"/>
    <w:rsid w:val="00E531EC"/>
    <w:pPr>
      <w:tabs>
        <w:tab w:val="left" w:pos="567"/>
      </w:tabs>
      <w:spacing w:after="11" w:line="220" w:lineRule="atLeast"/>
      <w:ind w:left="567" w:hanging="170"/>
    </w:pPr>
    <w:rPr>
      <w:rFonts w:ascii="Lubalin Graph" w:hAnsi="Lubalin Graph"/>
      <w:spacing w:val="2"/>
    </w:rPr>
  </w:style>
  <w:style w:type="character" w:styleId="Hiperveza">
    <w:name w:val="Hyperlink"/>
    <w:basedOn w:val="Zadanifontodlomka"/>
    <w:uiPriority w:val="99"/>
    <w:semiHidden/>
    <w:unhideWhenUsed/>
    <w:rsid w:val="00E531EC"/>
    <w:rPr>
      <w:color w:val="0000FF"/>
      <w:u w:val="single"/>
    </w:rPr>
  </w:style>
  <w:style w:type="paragraph" w:customStyle="1" w:styleId="Default">
    <w:name w:val="Default"/>
    <w:rsid w:val="00E531EC"/>
    <w:pPr>
      <w:autoSpaceDE w:val="0"/>
      <w:autoSpaceDN w:val="0"/>
      <w:adjustRightInd w:val="0"/>
      <w:spacing w:after="0" w:line="240" w:lineRule="auto"/>
    </w:pPr>
    <w:rPr>
      <w:rFonts w:ascii="Calibri" w:hAnsi="Calibri" w:cs="Calibri"/>
      <w:color w:val="000000"/>
      <w:sz w:val="24"/>
      <w:szCs w:val="24"/>
    </w:rPr>
  </w:style>
  <w:style w:type="paragraph" w:styleId="Tijeloteksta2">
    <w:name w:val="Body Text 2"/>
    <w:basedOn w:val="Normal"/>
    <w:link w:val="Tijeloteksta2Char"/>
    <w:semiHidden/>
    <w:unhideWhenUsed/>
    <w:rsid w:val="00E531EC"/>
    <w:pPr>
      <w:spacing w:after="0" w:line="240" w:lineRule="auto"/>
      <w:jc w:val="both"/>
    </w:pPr>
    <w:rPr>
      <w:rFonts w:ascii="Courier New" w:eastAsia="Times New Roman" w:hAnsi="Courier New" w:cs="Courier New"/>
      <w:szCs w:val="24"/>
      <w:lang w:eastAsia="hr-HR"/>
    </w:rPr>
  </w:style>
  <w:style w:type="character" w:customStyle="1" w:styleId="Tijeloteksta2Char">
    <w:name w:val="Tijelo teksta 2 Char"/>
    <w:basedOn w:val="Zadanifontodlomka"/>
    <w:link w:val="Tijeloteksta2"/>
    <w:semiHidden/>
    <w:rsid w:val="00E531EC"/>
    <w:rPr>
      <w:rFonts w:ascii="Courier New" w:eastAsia="Times New Roman" w:hAnsi="Courier New" w:cs="Courier New"/>
      <w:szCs w:val="24"/>
      <w:lang w:eastAsia="hr-HR"/>
    </w:rPr>
  </w:style>
  <w:style w:type="paragraph" w:styleId="Tijeloteksta">
    <w:name w:val="Body Text"/>
    <w:basedOn w:val="Normal"/>
    <w:link w:val="TijelotekstaChar"/>
    <w:uiPriority w:val="99"/>
    <w:unhideWhenUsed/>
    <w:rsid w:val="00E531EC"/>
    <w:pPr>
      <w:spacing w:after="120" w:line="240" w:lineRule="auto"/>
    </w:pPr>
    <w:rPr>
      <w:rFonts w:ascii="Times New Roman" w:eastAsia="Times New Roman" w:hAnsi="Times New Roman" w:cs="Times New Roman"/>
      <w:sz w:val="20"/>
      <w:szCs w:val="20"/>
      <w:lang w:eastAsia="hr-HR"/>
    </w:rPr>
  </w:style>
  <w:style w:type="character" w:customStyle="1" w:styleId="TijelotekstaChar">
    <w:name w:val="Tijelo teksta Char"/>
    <w:basedOn w:val="Zadanifontodlomka"/>
    <w:link w:val="Tijeloteksta"/>
    <w:uiPriority w:val="99"/>
    <w:rsid w:val="00E531EC"/>
    <w:rPr>
      <w:rFonts w:ascii="Times New Roman" w:eastAsia="Times New Roman" w:hAnsi="Times New Roman" w:cs="Times New Roman"/>
      <w:sz w:val="20"/>
      <w:szCs w:val="20"/>
      <w:lang w:eastAsia="hr-HR"/>
    </w:rPr>
  </w:style>
  <w:style w:type="paragraph" w:styleId="Bezproreda">
    <w:name w:val="No Spacing"/>
    <w:uiPriority w:val="1"/>
    <w:qFormat/>
    <w:rsid w:val="00977742"/>
    <w:pPr>
      <w:spacing w:after="0" w:line="240" w:lineRule="auto"/>
    </w:pPr>
  </w:style>
  <w:style w:type="character" w:customStyle="1" w:styleId="fontstyle01">
    <w:name w:val="fontstyle01"/>
    <w:basedOn w:val="Zadanifontodlomka"/>
    <w:rsid w:val="00EC1834"/>
    <w:rPr>
      <w:rFonts w:ascii="Times New Roman" w:hAnsi="Times New Roman" w:cs="Times New Roman" w:hint="default"/>
      <w:b w:val="0"/>
      <w:bCs w:val="0"/>
      <w:i w:val="0"/>
      <w:iCs w:val="0"/>
      <w:color w:val="000000"/>
      <w:sz w:val="24"/>
      <w:szCs w:val="24"/>
    </w:rPr>
  </w:style>
  <w:style w:type="numbering" w:customStyle="1" w:styleId="NoList1">
    <w:name w:val="No List1"/>
    <w:next w:val="Bezpopisa"/>
    <w:uiPriority w:val="99"/>
    <w:semiHidden/>
    <w:unhideWhenUsed/>
    <w:rsid w:val="00EA6663"/>
  </w:style>
  <w:style w:type="paragraph" w:customStyle="1" w:styleId="normaltable">
    <w:name w:val="normaltable"/>
    <w:basedOn w:val="Normal"/>
    <w:rsid w:val="00EA666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style0">
    <w:name w:val="fontstyle0"/>
    <w:basedOn w:val="Normal"/>
    <w:rsid w:val="00EA6663"/>
    <w:pPr>
      <w:spacing w:before="100" w:beforeAutospacing="1" w:after="100" w:afterAutospacing="1" w:line="240" w:lineRule="auto"/>
    </w:pPr>
    <w:rPr>
      <w:rFonts w:ascii="Times New Roman" w:eastAsia="Times New Roman" w:hAnsi="Times New Roman" w:cs="Times New Roman"/>
      <w:color w:val="000000"/>
      <w:lang w:eastAsia="hr-HR"/>
    </w:rPr>
  </w:style>
  <w:style w:type="paragraph" w:customStyle="1" w:styleId="fontstyle1">
    <w:name w:val="fontstyle1"/>
    <w:basedOn w:val="Normal"/>
    <w:rsid w:val="00EA6663"/>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fontstyle2">
    <w:name w:val="fontstyle2"/>
    <w:basedOn w:val="Normal"/>
    <w:rsid w:val="00EA6663"/>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style3">
    <w:name w:val="fontstyle3"/>
    <w:basedOn w:val="Normal"/>
    <w:rsid w:val="00EA6663"/>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character" w:customStyle="1" w:styleId="fontstyle21">
    <w:name w:val="fontstyle21"/>
    <w:basedOn w:val="Zadanifontodlomka"/>
    <w:rsid w:val="00EA6663"/>
    <w:rPr>
      <w:rFonts w:ascii="Arial" w:hAnsi="Arial" w:cs="Arial" w:hint="default"/>
      <w:b w:val="0"/>
      <w:bCs w:val="0"/>
      <w:i w:val="0"/>
      <w:iCs w:val="0"/>
      <w:color w:val="000000"/>
      <w:sz w:val="20"/>
      <w:szCs w:val="20"/>
    </w:rPr>
  </w:style>
  <w:style w:type="character" w:customStyle="1" w:styleId="fontstyle31">
    <w:name w:val="fontstyle31"/>
    <w:basedOn w:val="Zadanifontodlomka"/>
    <w:rsid w:val="00EA6663"/>
    <w:rPr>
      <w:rFonts w:ascii="Times New Roman" w:hAnsi="Times New Roman" w:cs="Times New Roman" w:hint="default"/>
      <w:b/>
      <w:bCs/>
      <w:i w:val="0"/>
      <w:iCs w:val="0"/>
      <w:color w:val="000000"/>
      <w:sz w:val="24"/>
      <w:szCs w:val="24"/>
    </w:rPr>
  </w:style>
  <w:style w:type="character" w:customStyle="1" w:styleId="OdlomakpopisaChar">
    <w:name w:val="Odlomak popisa Char"/>
    <w:aliases w:val="Paragraph Char,List Paragraph Red Char,lp1 Char"/>
    <w:link w:val="Odlomakpopisa"/>
    <w:uiPriority w:val="34"/>
    <w:rsid w:val="0066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821">
      <w:bodyDiv w:val="1"/>
      <w:marLeft w:val="0"/>
      <w:marRight w:val="0"/>
      <w:marTop w:val="0"/>
      <w:marBottom w:val="0"/>
      <w:divBdr>
        <w:top w:val="none" w:sz="0" w:space="0" w:color="auto"/>
        <w:left w:val="none" w:sz="0" w:space="0" w:color="auto"/>
        <w:bottom w:val="none" w:sz="0" w:space="0" w:color="auto"/>
        <w:right w:val="none" w:sz="0" w:space="0" w:color="auto"/>
      </w:divBdr>
    </w:div>
    <w:div w:id="53238008">
      <w:bodyDiv w:val="1"/>
      <w:marLeft w:val="0"/>
      <w:marRight w:val="0"/>
      <w:marTop w:val="0"/>
      <w:marBottom w:val="0"/>
      <w:divBdr>
        <w:top w:val="none" w:sz="0" w:space="0" w:color="auto"/>
        <w:left w:val="none" w:sz="0" w:space="0" w:color="auto"/>
        <w:bottom w:val="none" w:sz="0" w:space="0" w:color="auto"/>
        <w:right w:val="none" w:sz="0" w:space="0" w:color="auto"/>
      </w:divBdr>
    </w:div>
    <w:div w:id="225654925">
      <w:bodyDiv w:val="1"/>
      <w:marLeft w:val="0"/>
      <w:marRight w:val="0"/>
      <w:marTop w:val="0"/>
      <w:marBottom w:val="0"/>
      <w:divBdr>
        <w:top w:val="none" w:sz="0" w:space="0" w:color="auto"/>
        <w:left w:val="none" w:sz="0" w:space="0" w:color="auto"/>
        <w:bottom w:val="none" w:sz="0" w:space="0" w:color="auto"/>
        <w:right w:val="none" w:sz="0" w:space="0" w:color="auto"/>
      </w:divBdr>
    </w:div>
    <w:div w:id="1308776669">
      <w:bodyDiv w:val="1"/>
      <w:marLeft w:val="0"/>
      <w:marRight w:val="0"/>
      <w:marTop w:val="0"/>
      <w:marBottom w:val="0"/>
      <w:divBdr>
        <w:top w:val="none" w:sz="0" w:space="0" w:color="auto"/>
        <w:left w:val="none" w:sz="0" w:space="0" w:color="auto"/>
        <w:bottom w:val="none" w:sz="0" w:space="0" w:color="auto"/>
        <w:right w:val="none" w:sz="0" w:space="0" w:color="auto"/>
      </w:divBdr>
    </w:div>
    <w:div w:id="1367413911">
      <w:bodyDiv w:val="1"/>
      <w:marLeft w:val="0"/>
      <w:marRight w:val="0"/>
      <w:marTop w:val="0"/>
      <w:marBottom w:val="0"/>
      <w:divBdr>
        <w:top w:val="none" w:sz="0" w:space="0" w:color="auto"/>
        <w:left w:val="none" w:sz="0" w:space="0" w:color="auto"/>
        <w:bottom w:val="none" w:sz="0" w:space="0" w:color="auto"/>
        <w:right w:val="none" w:sz="0" w:space="0" w:color="auto"/>
      </w:divBdr>
    </w:div>
    <w:div w:id="19004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BB8A6F457A4051AF42A9CEB669CD76"/>
        <w:category>
          <w:name w:val="Općenito"/>
          <w:gallery w:val="placeholder"/>
        </w:category>
        <w:types>
          <w:type w:val="bbPlcHdr"/>
        </w:types>
        <w:behaviors>
          <w:behavior w:val="content"/>
        </w:behaviors>
        <w:guid w:val="{9F4814E2-621A-4B69-9F48-6754023FA34A}"/>
      </w:docPartPr>
      <w:docPartBody>
        <w:p w:rsidR="005360A8" w:rsidRDefault="00504970" w:rsidP="00504970">
          <w:pPr>
            <w:pStyle w:val="CEBB8A6F457A4051AF42A9CEB669CD76"/>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balin Graph">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70"/>
    <w:rsid w:val="002542E6"/>
    <w:rsid w:val="002E2C95"/>
    <w:rsid w:val="0033349F"/>
    <w:rsid w:val="003E177E"/>
    <w:rsid w:val="003E5E89"/>
    <w:rsid w:val="003F370B"/>
    <w:rsid w:val="00404FD4"/>
    <w:rsid w:val="00430FDB"/>
    <w:rsid w:val="00445E1B"/>
    <w:rsid w:val="00504970"/>
    <w:rsid w:val="005360A8"/>
    <w:rsid w:val="007D212F"/>
    <w:rsid w:val="009A0D43"/>
    <w:rsid w:val="00AF79DB"/>
    <w:rsid w:val="00B31939"/>
    <w:rsid w:val="00B5708D"/>
    <w:rsid w:val="00C6507A"/>
    <w:rsid w:val="00CC0710"/>
    <w:rsid w:val="00CF459A"/>
    <w:rsid w:val="00D57E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EBB8A6F457A4051AF42A9CEB669CD76">
    <w:name w:val="CEBB8A6F457A4051AF42A9CEB669CD76"/>
    <w:rsid w:val="00504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DE533B69F52C4CBA47635426A18E1C" ma:contentTypeVersion="4" ma:contentTypeDescription="Stvaranje novog dokumenta." ma:contentTypeScope="" ma:versionID="55d55dc6490f225c7468dea639258b03">
  <xsd:schema xmlns:xsd="http://www.w3.org/2001/XMLSchema" xmlns:xs="http://www.w3.org/2001/XMLSchema" xmlns:p="http://schemas.microsoft.com/office/2006/metadata/properties" xmlns:ns2="3f4b2d2b-3c43-4802-9828-3d0474e9e4fa" xmlns:ns3="d6302e41-8354-4871-858a-0a78ce961940" targetNamespace="http://schemas.microsoft.com/office/2006/metadata/properties" ma:root="true" ma:fieldsID="8ba86d538fc66cd270c6fae9f7290e79" ns2:_="" ns3:_="">
    <xsd:import namespace="3f4b2d2b-3c43-4802-9828-3d0474e9e4fa"/>
    <xsd:import namespace="d6302e41-8354-4871-858a-0a78ce96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2d2b-3c43-4802-9828-3d0474e9e4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02e41-8354-4871-858a-0a78ce961940" elementFormDefault="qualified">
    <xsd:import namespace="http://schemas.microsoft.com/office/2006/documentManagement/types"/>
    <xsd:import namespace="http://schemas.microsoft.com/office/infopath/2007/PartnerControls"/>
    <xsd:element name="SharedWithUsers" ma:index="10"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9A29-7411-4E99-AA3B-6C66493E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2d2b-3c43-4802-9828-3d0474e9e4fa"/>
    <ds:schemaRef ds:uri="d6302e41-8354-4871-858a-0a78ce96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80278-9D86-49A0-AB6F-2634744470A0}">
  <ds:schemaRefs>
    <ds:schemaRef ds:uri="http://schemas.microsoft.com/sharepoint/v3/contenttype/forms"/>
  </ds:schemaRefs>
</ds:datastoreItem>
</file>

<file path=customXml/itemProps3.xml><?xml version="1.0" encoding="utf-8"?>
<ds:datastoreItem xmlns:ds="http://schemas.openxmlformats.org/officeDocument/2006/customXml" ds:itemID="{FC4BD4CD-F4C4-42A7-88EC-028B40F2E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C85C90-8E86-4485-8FB3-7CE00CBD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2922</Words>
  <Characters>16662</Characters>
  <Application>Microsoft Office Word</Application>
  <DocSecurity>0</DocSecurity>
  <Lines>138</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PRIVITAK-4-Tehnička specifikacija</vt:lpstr>
      <vt:lpstr/>
    </vt:vector>
  </TitlesOfParts>
  <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PRIVITAK - 3 -Tehnička specifikacija</dc:title>
  <dc:creator>Ivona Tudor</dc:creator>
  <cp:lastModifiedBy>Kata Nikolić-Friščić</cp:lastModifiedBy>
  <cp:revision>30</cp:revision>
  <dcterms:created xsi:type="dcterms:W3CDTF">2017-07-19T13:56:00Z</dcterms:created>
  <dcterms:modified xsi:type="dcterms:W3CDTF">2017-11-15T09:46:00Z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0x01010092DE533B69F52C4CBA47635426A18E1C</vt:lpwstr>
  </property>
</Properties>
</file>